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05" w:rsidRPr="00712D05" w:rsidRDefault="00E04208" w:rsidP="00712D05">
      <w:pPr>
        <w:autoSpaceDE w:val="0"/>
        <w:autoSpaceDN w:val="0"/>
        <w:adjustRightInd w:val="0"/>
        <w:spacing w:after="0" w:line="240" w:lineRule="auto"/>
        <w:ind w:right="1050"/>
        <w:jc w:val="center"/>
        <w:rPr>
          <w:rFonts w:cs="TrebuchetMS,Bold"/>
          <w:b/>
          <w:bCs/>
          <w:sz w:val="19"/>
          <w:szCs w:val="19"/>
        </w:rPr>
      </w:pPr>
      <w:r w:rsidRPr="00F76A5A">
        <w:rPr>
          <w:rFonts w:cs="TrebuchetMS,Bold"/>
          <w:b/>
          <w:bCs/>
          <w:smallCaps/>
          <w:sz w:val="24"/>
          <w:szCs w:val="24"/>
        </w:rPr>
        <w:t>projet</w:t>
      </w:r>
      <w:r w:rsidR="00D86E5C" w:rsidRPr="00F76A5A">
        <w:rPr>
          <w:rFonts w:cs="TrebuchetMS,Bold"/>
          <w:b/>
          <w:bCs/>
          <w:smallCaps/>
          <w:sz w:val="19"/>
          <w:szCs w:val="19"/>
        </w:rPr>
        <w:t xml:space="preserve"> </w:t>
      </w:r>
      <w:r w:rsidR="00D86E5C" w:rsidRPr="00F76A5A">
        <w:rPr>
          <w:rFonts w:cs="TrebuchetMS,Bold"/>
          <w:b/>
          <w:bCs/>
          <w:sz w:val="19"/>
          <w:szCs w:val="19"/>
        </w:rPr>
        <w:t xml:space="preserve">DE </w:t>
      </w:r>
      <w:r w:rsidR="00D86E5C" w:rsidRPr="00FE4431">
        <w:rPr>
          <w:rFonts w:cs="TrebuchetMS,Bold"/>
          <w:b/>
          <w:bCs/>
          <w:sz w:val="19"/>
          <w:szCs w:val="19"/>
        </w:rPr>
        <w:t xml:space="preserve">DELIBERATION RELATIVE A LA MISE EN PLACE </w:t>
      </w:r>
      <w:r w:rsidR="003855CF">
        <w:rPr>
          <w:rFonts w:cs="TrebuchetMS,Bold"/>
          <w:b/>
          <w:bCs/>
          <w:sz w:val="19"/>
          <w:szCs w:val="19"/>
        </w:rPr>
        <w:t>DE</w:t>
      </w:r>
    </w:p>
    <w:p w:rsidR="00D86E5C" w:rsidRPr="00712D05" w:rsidRDefault="003855CF" w:rsidP="00712D05">
      <w:pPr>
        <w:autoSpaceDE w:val="0"/>
        <w:autoSpaceDN w:val="0"/>
        <w:adjustRightInd w:val="0"/>
        <w:spacing w:after="0" w:line="240" w:lineRule="auto"/>
        <w:ind w:right="1050"/>
        <w:jc w:val="center"/>
        <w:rPr>
          <w:rFonts w:cs="TrebuchetMS,Bold"/>
          <w:b/>
          <w:bCs/>
          <w:sz w:val="24"/>
          <w:szCs w:val="24"/>
        </w:rPr>
      </w:pPr>
      <w:r>
        <w:rPr>
          <w:rFonts w:cs="TrebuchetMS,Bold"/>
          <w:b/>
          <w:bCs/>
          <w:sz w:val="23"/>
          <w:szCs w:val="19"/>
        </w:rPr>
        <w:t>LA PRIME EXCEPTIONNELLE DE POUVOIR D’ACHAT</w:t>
      </w:r>
    </w:p>
    <w:p w:rsidR="0034382C" w:rsidRDefault="0034382C" w:rsidP="005024AD">
      <w:pPr>
        <w:autoSpaceDE w:val="0"/>
        <w:autoSpaceDN w:val="0"/>
        <w:adjustRightInd w:val="0"/>
        <w:spacing w:after="0" w:line="240" w:lineRule="auto"/>
        <w:ind w:right="1050"/>
        <w:rPr>
          <w:rFonts w:cs="TrebuchetMS,Bold"/>
          <w:b/>
          <w:bCs/>
          <w:sz w:val="24"/>
          <w:szCs w:val="24"/>
        </w:rPr>
      </w:pPr>
    </w:p>
    <w:p w:rsidR="003855CF" w:rsidRDefault="003855CF" w:rsidP="005024AD">
      <w:pPr>
        <w:autoSpaceDE w:val="0"/>
        <w:autoSpaceDN w:val="0"/>
        <w:adjustRightInd w:val="0"/>
        <w:spacing w:after="0" w:line="240" w:lineRule="auto"/>
        <w:ind w:right="1050"/>
        <w:rPr>
          <w:rFonts w:cs="TrebuchetMS,Bold"/>
          <w:b/>
          <w:bCs/>
          <w:sz w:val="24"/>
          <w:szCs w:val="24"/>
        </w:rPr>
      </w:pPr>
    </w:p>
    <w:p w:rsidR="003855CF" w:rsidRDefault="003855CF" w:rsidP="003855CF">
      <w:pPr>
        <w:spacing w:after="120"/>
        <w:ind w:right="74"/>
        <w:jc w:val="both"/>
        <w:rPr>
          <w:rFonts w:ascii="Calibri" w:hAnsi="Calibri" w:cs="Arial"/>
          <w:shd w:val="clear" w:color="auto" w:fill="FFFFFF"/>
        </w:rPr>
      </w:pPr>
      <w:r>
        <w:rPr>
          <w:rFonts w:ascii="Calibri" w:hAnsi="Calibri" w:cs="Arial"/>
          <w:shd w:val="clear" w:color="auto" w:fill="FFFFFF"/>
        </w:rPr>
        <w:t>Vu le code général des collectivités territoriales,</w:t>
      </w:r>
    </w:p>
    <w:p w:rsidR="003855CF" w:rsidRDefault="003855CF" w:rsidP="003855CF">
      <w:pPr>
        <w:ind w:right="74"/>
        <w:jc w:val="both"/>
        <w:rPr>
          <w:rFonts w:ascii="Calibri" w:hAnsi="Calibri" w:cs="Arial"/>
          <w:shd w:val="clear" w:color="auto" w:fill="FFFFFF"/>
        </w:rPr>
      </w:pPr>
      <w:r>
        <w:rPr>
          <w:rFonts w:ascii="Calibri" w:hAnsi="Calibri" w:cs="Arial"/>
          <w:shd w:val="clear" w:color="auto" w:fill="FFFFFF"/>
        </w:rPr>
        <w:t>Vu le code général de la fonction publique,</w:t>
      </w:r>
    </w:p>
    <w:p w:rsidR="003855CF" w:rsidRDefault="003855CF" w:rsidP="003855CF">
      <w:pPr>
        <w:spacing w:before="120" w:after="120"/>
        <w:jc w:val="both"/>
        <w:rPr>
          <w:rFonts w:ascii="Calibri" w:hAnsi="Calibri" w:cs="Arial"/>
          <w:shd w:val="clear" w:color="auto" w:fill="FFFFFF"/>
        </w:rPr>
      </w:pPr>
      <w:r>
        <w:rPr>
          <w:rFonts w:ascii="Calibri" w:hAnsi="Calibri" w:cs="Arial"/>
          <w:shd w:val="clear" w:color="auto" w:fill="FFFFFF"/>
        </w:rPr>
        <w:t xml:space="preserve">Vu le décret </w:t>
      </w:r>
      <w:r w:rsidRPr="00246FF9">
        <w:rPr>
          <w:rFonts w:ascii="Calibri" w:hAnsi="Calibri" w:cs="Arial"/>
          <w:shd w:val="clear" w:color="auto" w:fill="FFFFFF"/>
        </w:rPr>
        <w:t>n° 2023-1006 du 31 octobre 2023 portant création d'une prime de pouvoir d'achat exceptionnelle pour certains agents publics de la fonction publique territoriale</w:t>
      </w:r>
    </w:p>
    <w:p w:rsidR="003855CF" w:rsidRDefault="003855CF" w:rsidP="003855CF">
      <w:pPr>
        <w:spacing w:before="120" w:after="120"/>
        <w:jc w:val="both"/>
        <w:rPr>
          <w:rFonts w:ascii="Calibri" w:hAnsi="Calibri" w:cs="Arial"/>
          <w:shd w:val="clear" w:color="auto" w:fill="FFFFFF"/>
        </w:rPr>
      </w:pPr>
      <w:r>
        <w:rPr>
          <w:rFonts w:ascii="Calibri" w:hAnsi="Calibri" w:cs="Arial"/>
          <w:shd w:val="clear" w:color="auto" w:fill="FFFFFF"/>
        </w:rPr>
        <w:t>Vu l’avis du comité social territorial en date du ……….,</w:t>
      </w:r>
    </w:p>
    <w:p w:rsidR="003855CF" w:rsidRDefault="003855CF" w:rsidP="003855CF">
      <w:pPr>
        <w:jc w:val="both"/>
        <w:rPr>
          <w:rFonts w:ascii="Calibri" w:hAnsi="Calibri"/>
        </w:rPr>
      </w:pPr>
      <w:r w:rsidRPr="00217A96">
        <w:rPr>
          <w:rFonts w:ascii="Calibri" w:hAnsi="Calibri"/>
        </w:rPr>
        <w:t xml:space="preserve">M. / Mme ……………… </w:t>
      </w:r>
      <w:r w:rsidRPr="00217A96">
        <w:rPr>
          <w:rFonts w:ascii="Calibri" w:hAnsi="Calibri"/>
          <w:i/>
        </w:rPr>
        <w:t>(autorité territoriale)</w:t>
      </w:r>
      <w:r w:rsidRPr="00217A96">
        <w:rPr>
          <w:rFonts w:ascii="Calibri" w:hAnsi="Calibri"/>
        </w:rPr>
        <w:t xml:space="preserve"> expose à ………………. </w:t>
      </w:r>
      <w:r w:rsidRPr="00217A96">
        <w:rPr>
          <w:rFonts w:ascii="Calibri" w:hAnsi="Calibri"/>
          <w:i/>
        </w:rPr>
        <w:t>(organe délibérant)</w:t>
      </w:r>
      <w:r w:rsidRPr="00217A96">
        <w:rPr>
          <w:rFonts w:ascii="Calibri" w:hAnsi="Calibri"/>
        </w:rPr>
        <w:t xml:space="preserve"> que </w:t>
      </w:r>
      <w:bookmarkStart w:id="0" w:name="JORFARTI000041817255"/>
      <w:bookmarkEnd w:id="0"/>
      <w:r>
        <w:rPr>
          <w:rFonts w:ascii="Calibri" w:hAnsi="Calibri"/>
        </w:rPr>
        <w:t xml:space="preserve">le </w:t>
      </w:r>
      <w:r w:rsidRPr="00217A96">
        <w:rPr>
          <w:rFonts w:ascii="Calibri" w:hAnsi="Calibri"/>
        </w:rPr>
        <w:t xml:space="preserve">décret </w:t>
      </w:r>
      <w:r w:rsidRPr="00626505">
        <w:rPr>
          <w:rFonts w:ascii="Calibri" w:hAnsi="Calibri"/>
        </w:rPr>
        <w:t>n° 2023-1006 du 31 octobre 2023</w:t>
      </w:r>
      <w:r>
        <w:rPr>
          <w:rFonts w:ascii="Calibri" w:hAnsi="Calibri"/>
        </w:rPr>
        <w:t xml:space="preserve"> </w:t>
      </w:r>
      <w:r w:rsidRPr="00217A96">
        <w:rPr>
          <w:rFonts w:ascii="Calibri" w:hAnsi="Calibri"/>
        </w:rPr>
        <w:t>prévo</w:t>
      </w:r>
      <w:r>
        <w:rPr>
          <w:rFonts w:ascii="Calibri" w:hAnsi="Calibri"/>
        </w:rPr>
        <w:t>it</w:t>
      </w:r>
      <w:r w:rsidRPr="00217A96">
        <w:rPr>
          <w:rFonts w:ascii="Calibri" w:hAnsi="Calibri"/>
        </w:rPr>
        <w:t xml:space="preserve"> la possibilité d’attribuer une prime exceptionnelle</w:t>
      </w:r>
      <w:r>
        <w:rPr>
          <w:rFonts w:ascii="Calibri" w:hAnsi="Calibri"/>
        </w:rPr>
        <w:t xml:space="preserve"> de pouvoir d’achat</w:t>
      </w:r>
      <w:r w:rsidRPr="00217A96">
        <w:rPr>
          <w:rFonts w:ascii="Calibri" w:hAnsi="Calibri"/>
        </w:rPr>
        <w:t xml:space="preserve"> </w:t>
      </w:r>
      <w:r>
        <w:rPr>
          <w:rFonts w:ascii="Calibri" w:hAnsi="Calibri"/>
        </w:rPr>
        <w:t>pour certains</w:t>
      </w:r>
      <w:r w:rsidRPr="00217A96">
        <w:rPr>
          <w:rFonts w:ascii="Calibri" w:hAnsi="Calibri"/>
        </w:rPr>
        <w:t xml:space="preserve"> agents publics</w:t>
      </w:r>
      <w:r>
        <w:rPr>
          <w:rFonts w:ascii="Calibri" w:hAnsi="Calibri"/>
        </w:rPr>
        <w:t>.</w:t>
      </w:r>
    </w:p>
    <w:p w:rsidR="003855CF" w:rsidRPr="00950B8B" w:rsidRDefault="003855CF" w:rsidP="003855CF">
      <w:pPr>
        <w:pStyle w:val="LeMairerappellepropose"/>
        <w:spacing w:before="0" w:after="0"/>
        <w:rPr>
          <w:sz w:val="22"/>
          <w:szCs w:val="22"/>
        </w:rPr>
      </w:pPr>
    </w:p>
    <w:p w:rsidR="00C5691B" w:rsidRDefault="003855CF" w:rsidP="003855CF">
      <w:pPr>
        <w:jc w:val="both"/>
        <w:rPr>
          <w:rFonts w:ascii="Calibri" w:hAnsi="Calibri"/>
        </w:rPr>
      </w:pPr>
      <w:r w:rsidRPr="00217A96">
        <w:rPr>
          <w:rFonts w:ascii="Calibri" w:hAnsi="Calibri"/>
        </w:rPr>
        <w:t>La prime exceptionnelle</w:t>
      </w:r>
      <w:r>
        <w:rPr>
          <w:rFonts w:ascii="Calibri" w:hAnsi="Calibri"/>
        </w:rPr>
        <w:t xml:space="preserve"> de pouvoir d’achat</w:t>
      </w:r>
      <w:r w:rsidRPr="00217A96">
        <w:rPr>
          <w:rFonts w:ascii="Calibri" w:hAnsi="Calibri"/>
        </w:rPr>
        <w:t xml:space="preserve"> peut être versée aux fonctionnaires et aux agents contractuels de droit public des collectivités territoriales et de leurs établissements publics</w:t>
      </w:r>
      <w:r w:rsidR="00C5691B">
        <w:rPr>
          <w:rFonts w:ascii="Calibri" w:hAnsi="Calibri"/>
        </w:rPr>
        <w:t xml:space="preserve"> selon les conditions suivantes : </w:t>
      </w:r>
    </w:p>
    <w:p w:rsidR="00C5691B" w:rsidRDefault="00C5691B" w:rsidP="00C5691B">
      <w:pPr>
        <w:pStyle w:val="Paragraphedeliste"/>
        <w:numPr>
          <w:ilvl w:val="0"/>
          <w:numId w:val="26"/>
        </w:numPr>
        <w:jc w:val="both"/>
        <w:rPr>
          <w:rFonts w:ascii="Calibri" w:hAnsi="Calibri"/>
        </w:rPr>
      </w:pPr>
      <w:r>
        <w:rPr>
          <w:rFonts w:ascii="Calibri" w:hAnsi="Calibri"/>
        </w:rPr>
        <w:t xml:space="preserve">Avoir été </w:t>
      </w:r>
      <w:r w:rsidR="003855CF" w:rsidRPr="00C5691B">
        <w:rPr>
          <w:rFonts w:ascii="Calibri" w:hAnsi="Calibri"/>
        </w:rPr>
        <w:t>nommés ou recrutés</w:t>
      </w:r>
      <w:r>
        <w:rPr>
          <w:rFonts w:ascii="Calibri" w:hAnsi="Calibri"/>
        </w:rPr>
        <w:t xml:space="preserve"> par un employeur public à une date d’effet antérieure au </w:t>
      </w:r>
      <w:r w:rsidR="003855CF" w:rsidRPr="00C5691B">
        <w:rPr>
          <w:rFonts w:ascii="Calibri" w:hAnsi="Calibri"/>
        </w:rPr>
        <w:t>1</w:t>
      </w:r>
      <w:r w:rsidR="003855CF" w:rsidRPr="00C5691B">
        <w:rPr>
          <w:rFonts w:ascii="Calibri" w:hAnsi="Calibri"/>
          <w:vertAlign w:val="superscript"/>
        </w:rPr>
        <w:t>er</w:t>
      </w:r>
      <w:r w:rsidR="003855CF" w:rsidRPr="00C5691B">
        <w:rPr>
          <w:rFonts w:ascii="Calibri" w:hAnsi="Calibri"/>
        </w:rPr>
        <w:t xml:space="preserve"> janvier 2023,</w:t>
      </w:r>
    </w:p>
    <w:p w:rsidR="00C5691B" w:rsidRDefault="00C5691B" w:rsidP="00C5691B">
      <w:pPr>
        <w:pStyle w:val="Paragraphedeliste"/>
        <w:numPr>
          <w:ilvl w:val="0"/>
          <w:numId w:val="26"/>
        </w:numPr>
        <w:jc w:val="both"/>
        <w:rPr>
          <w:rFonts w:ascii="Calibri" w:hAnsi="Calibri"/>
        </w:rPr>
      </w:pPr>
      <w:r>
        <w:rPr>
          <w:rFonts w:ascii="Calibri" w:hAnsi="Calibri"/>
        </w:rPr>
        <w:t xml:space="preserve">Etre </w:t>
      </w:r>
      <w:r w:rsidR="003855CF" w:rsidRPr="00C5691B">
        <w:rPr>
          <w:rFonts w:ascii="Calibri" w:hAnsi="Calibri"/>
        </w:rPr>
        <w:t xml:space="preserve">employés et rémunérés par un employeur public au 30 juin 2023, </w:t>
      </w:r>
    </w:p>
    <w:p w:rsidR="003855CF" w:rsidRPr="00C5691B" w:rsidRDefault="00C5691B" w:rsidP="00C5691B">
      <w:pPr>
        <w:pStyle w:val="Paragraphedeliste"/>
        <w:numPr>
          <w:ilvl w:val="0"/>
          <w:numId w:val="26"/>
        </w:numPr>
        <w:jc w:val="both"/>
        <w:rPr>
          <w:rFonts w:ascii="Calibri" w:hAnsi="Calibri"/>
        </w:rPr>
      </w:pPr>
      <w:r>
        <w:rPr>
          <w:rFonts w:ascii="Calibri" w:hAnsi="Calibri"/>
        </w:rPr>
        <w:t>Avoir perçu une rémunération br</w:t>
      </w:r>
      <w:r w:rsidR="003855CF" w:rsidRPr="00C5691B">
        <w:rPr>
          <w:rFonts w:ascii="Calibri" w:hAnsi="Calibri"/>
        </w:rPr>
        <w:t>ute</w:t>
      </w:r>
      <w:r>
        <w:rPr>
          <w:rFonts w:ascii="Calibri" w:hAnsi="Calibri"/>
        </w:rPr>
        <w:t xml:space="preserve"> inférieure ou égale à</w:t>
      </w:r>
      <w:r w:rsidR="003855CF" w:rsidRPr="00C5691B">
        <w:rPr>
          <w:rFonts w:ascii="Calibri" w:hAnsi="Calibri"/>
        </w:rPr>
        <w:t xml:space="preserve"> 39 000€ sur la période du 1</w:t>
      </w:r>
      <w:r w:rsidR="003855CF" w:rsidRPr="00C5691B">
        <w:rPr>
          <w:rFonts w:ascii="Calibri" w:hAnsi="Calibri"/>
          <w:vertAlign w:val="superscript"/>
        </w:rPr>
        <w:t>er</w:t>
      </w:r>
      <w:r w:rsidR="003855CF" w:rsidRPr="00C5691B">
        <w:rPr>
          <w:rFonts w:ascii="Calibri" w:hAnsi="Calibri"/>
        </w:rPr>
        <w:t xml:space="preserve"> juillet 2022 au 30 juin 2023, déduction faite de la GIPA et de la rémunération issue des heures supplémentaires défiscalisées.</w:t>
      </w:r>
    </w:p>
    <w:p w:rsidR="003855CF" w:rsidRPr="00F06BC4" w:rsidRDefault="003855CF" w:rsidP="003855CF">
      <w:pPr>
        <w:jc w:val="both"/>
        <w:rPr>
          <w:rFonts w:ascii="Calibri" w:hAnsi="Calibri" w:cs="Calibri"/>
        </w:rPr>
      </w:pPr>
      <w:r w:rsidRPr="00F06BC4">
        <w:rPr>
          <w:rFonts w:ascii="Calibri" w:hAnsi="Calibri" w:cs="Calibri"/>
        </w:rPr>
        <w:t xml:space="preserve">Il appartient à l’organe délibérant de la collectivité de déterminer le montant de la prime dans la limite des plafonds fixés par le décret. </w:t>
      </w:r>
    </w:p>
    <w:tbl>
      <w:tblPr>
        <w:tblW w:w="103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5036"/>
      </w:tblGrid>
      <w:tr w:rsidR="003855CF" w:rsidTr="003855CF">
        <w:trPr>
          <w:trHeight w:val="880"/>
        </w:trPr>
        <w:tc>
          <w:tcPr>
            <w:tcW w:w="5325" w:type="dxa"/>
            <w:shd w:val="clear" w:color="auto" w:fill="auto"/>
            <w:vAlign w:val="center"/>
          </w:tcPr>
          <w:p w:rsidR="003855CF" w:rsidRDefault="003855CF" w:rsidP="00343F35">
            <w:pPr>
              <w:jc w:val="center"/>
              <w:rPr>
                <w:rFonts w:ascii="Calibri" w:hAnsi="Calibri"/>
              </w:rPr>
            </w:pPr>
            <w:r>
              <w:rPr>
                <w:rFonts w:ascii="Calibri" w:hAnsi="Calibri"/>
              </w:rPr>
              <w:t>Rémunération brute perçue au titre de la période courant du 1er juillet 2022 au 30 juin 2023</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Montant de la prime de pouvoir d'achat</w:t>
            </w:r>
          </w:p>
        </w:tc>
      </w:tr>
      <w:tr w:rsidR="003855CF" w:rsidTr="003855CF">
        <w:trPr>
          <w:trHeight w:val="438"/>
        </w:trPr>
        <w:tc>
          <w:tcPr>
            <w:tcW w:w="5325" w:type="dxa"/>
            <w:shd w:val="clear" w:color="auto" w:fill="auto"/>
            <w:vAlign w:val="center"/>
          </w:tcPr>
          <w:p w:rsidR="003855CF" w:rsidRDefault="003855CF" w:rsidP="00343F35">
            <w:pPr>
              <w:jc w:val="center"/>
              <w:rPr>
                <w:rFonts w:ascii="Calibri" w:hAnsi="Calibri"/>
              </w:rPr>
            </w:pPr>
            <w:r>
              <w:rPr>
                <w:rFonts w:ascii="Calibri" w:hAnsi="Calibri"/>
              </w:rPr>
              <w:t>Inférieure ou égale à 23 700 €</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 xml:space="preserve">……€ </w:t>
            </w:r>
            <w:r>
              <w:rPr>
                <w:rFonts w:ascii="Calibri" w:hAnsi="Calibri"/>
                <w:i/>
                <w:iCs/>
              </w:rPr>
              <w:t>(dans la limite de 800€)</w:t>
            </w:r>
          </w:p>
        </w:tc>
      </w:tr>
      <w:tr w:rsidR="003855CF" w:rsidTr="003855CF">
        <w:trPr>
          <w:trHeight w:val="438"/>
        </w:trPr>
        <w:tc>
          <w:tcPr>
            <w:tcW w:w="5325" w:type="dxa"/>
            <w:shd w:val="clear" w:color="auto" w:fill="auto"/>
            <w:vAlign w:val="center"/>
          </w:tcPr>
          <w:p w:rsidR="003855CF" w:rsidRDefault="003855CF" w:rsidP="00343F35">
            <w:pPr>
              <w:tabs>
                <w:tab w:val="left" w:pos="3210"/>
              </w:tabs>
              <w:jc w:val="center"/>
              <w:rPr>
                <w:rFonts w:ascii="Calibri" w:hAnsi="Calibri"/>
              </w:rPr>
            </w:pPr>
            <w:r>
              <w:rPr>
                <w:rFonts w:ascii="Calibri" w:hAnsi="Calibri"/>
              </w:rPr>
              <w:t>Supérieure à 23 700 € et inférieure ou égale à 27 300 €</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 xml:space="preserve">……€ </w:t>
            </w:r>
            <w:r>
              <w:rPr>
                <w:rFonts w:ascii="Calibri" w:hAnsi="Calibri"/>
                <w:i/>
                <w:iCs/>
              </w:rPr>
              <w:t>(dans la limite de 700€)</w:t>
            </w:r>
          </w:p>
        </w:tc>
      </w:tr>
      <w:tr w:rsidR="003855CF" w:rsidTr="003855CF">
        <w:trPr>
          <w:trHeight w:val="438"/>
        </w:trPr>
        <w:tc>
          <w:tcPr>
            <w:tcW w:w="5325" w:type="dxa"/>
            <w:shd w:val="clear" w:color="auto" w:fill="auto"/>
            <w:vAlign w:val="center"/>
          </w:tcPr>
          <w:p w:rsidR="003855CF" w:rsidRDefault="003855CF" w:rsidP="00343F35">
            <w:pPr>
              <w:jc w:val="center"/>
              <w:rPr>
                <w:rFonts w:ascii="Calibri" w:hAnsi="Calibri"/>
              </w:rPr>
            </w:pPr>
            <w:r>
              <w:rPr>
                <w:rFonts w:ascii="Calibri" w:hAnsi="Calibri"/>
              </w:rPr>
              <w:t>Supérieure à 27 300 € et inférieure ou égale à 29 160 €</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 xml:space="preserve">……€ </w:t>
            </w:r>
            <w:r>
              <w:rPr>
                <w:rFonts w:ascii="Calibri" w:hAnsi="Calibri"/>
                <w:i/>
                <w:iCs/>
              </w:rPr>
              <w:t>(dans la limite de 600€)</w:t>
            </w:r>
          </w:p>
        </w:tc>
      </w:tr>
      <w:tr w:rsidR="003855CF" w:rsidTr="003855CF">
        <w:trPr>
          <w:trHeight w:val="438"/>
        </w:trPr>
        <w:tc>
          <w:tcPr>
            <w:tcW w:w="5325" w:type="dxa"/>
            <w:shd w:val="clear" w:color="auto" w:fill="auto"/>
            <w:vAlign w:val="center"/>
          </w:tcPr>
          <w:p w:rsidR="003855CF" w:rsidRDefault="003855CF" w:rsidP="00343F35">
            <w:pPr>
              <w:jc w:val="center"/>
              <w:rPr>
                <w:rFonts w:ascii="Calibri" w:hAnsi="Calibri"/>
              </w:rPr>
            </w:pPr>
            <w:r>
              <w:rPr>
                <w:rFonts w:ascii="Calibri" w:hAnsi="Calibri"/>
              </w:rPr>
              <w:t>Supérieure à 29 160 € et inférieure ou égale à 30 840 €</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 xml:space="preserve">……€ </w:t>
            </w:r>
            <w:r>
              <w:rPr>
                <w:rFonts w:ascii="Calibri" w:hAnsi="Calibri"/>
                <w:i/>
                <w:iCs/>
              </w:rPr>
              <w:t>(dans la limite de 500€)</w:t>
            </w:r>
          </w:p>
        </w:tc>
      </w:tr>
      <w:tr w:rsidR="003855CF" w:rsidTr="003855CF">
        <w:trPr>
          <w:trHeight w:val="438"/>
        </w:trPr>
        <w:tc>
          <w:tcPr>
            <w:tcW w:w="5325" w:type="dxa"/>
            <w:shd w:val="clear" w:color="auto" w:fill="auto"/>
            <w:vAlign w:val="center"/>
          </w:tcPr>
          <w:p w:rsidR="003855CF" w:rsidRDefault="003855CF" w:rsidP="00343F35">
            <w:pPr>
              <w:jc w:val="center"/>
              <w:rPr>
                <w:rFonts w:ascii="Calibri" w:hAnsi="Calibri"/>
              </w:rPr>
            </w:pPr>
            <w:r>
              <w:rPr>
                <w:rFonts w:ascii="Calibri" w:hAnsi="Calibri"/>
              </w:rPr>
              <w:t>Supérieure à 30 840 € et inférieure ou égale à 32 280 €</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 xml:space="preserve">……€ </w:t>
            </w:r>
            <w:r>
              <w:rPr>
                <w:rFonts w:ascii="Calibri" w:hAnsi="Calibri"/>
                <w:i/>
                <w:iCs/>
              </w:rPr>
              <w:t>(dans la limite de 400€)</w:t>
            </w:r>
          </w:p>
        </w:tc>
      </w:tr>
      <w:tr w:rsidR="003855CF" w:rsidTr="003855CF">
        <w:trPr>
          <w:trHeight w:val="438"/>
        </w:trPr>
        <w:tc>
          <w:tcPr>
            <w:tcW w:w="5325" w:type="dxa"/>
            <w:shd w:val="clear" w:color="auto" w:fill="auto"/>
            <w:vAlign w:val="center"/>
          </w:tcPr>
          <w:p w:rsidR="003855CF" w:rsidRDefault="003855CF" w:rsidP="00343F35">
            <w:pPr>
              <w:jc w:val="center"/>
              <w:rPr>
                <w:rFonts w:ascii="Calibri" w:hAnsi="Calibri"/>
              </w:rPr>
            </w:pPr>
            <w:r>
              <w:rPr>
                <w:rFonts w:ascii="Calibri" w:hAnsi="Calibri"/>
              </w:rPr>
              <w:t>Supérieure à 32 280 € et inférieure ou égale à 33 600 €</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 xml:space="preserve">……€ </w:t>
            </w:r>
            <w:r>
              <w:rPr>
                <w:rFonts w:ascii="Calibri" w:hAnsi="Calibri"/>
                <w:i/>
                <w:iCs/>
              </w:rPr>
              <w:t>(dans la limite de 350€)</w:t>
            </w:r>
          </w:p>
        </w:tc>
      </w:tr>
      <w:tr w:rsidR="003855CF" w:rsidTr="003855CF">
        <w:trPr>
          <w:trHeight w:val="412"/>
        </w:trPr>
        <w:tc>
          <w:tcPr>
            <w:tcW w:w="5325" w:type="dxa"/>
            <w:shd w:val="clear" w:color="auto" w:fill="auto"/>
            <w:vAlign w:val="center"/>
          </w:tcPr>
          <w:p w:rsidR="003855CF" w:rsidRDefault="003855CF" w:rsidP="00343F35">
            <w:pPr>
              <w:jc w:val="center"/>
              <w:rPr>
                <w:rFonts w:ascii="Calibri" w:hAnsi="Calibri"/>
              </w:rPr>
            </w:pPr>
            <w:r>
              <w:rPr>
                <w:rFonts w:ascii="Calibri" w:hAnsi="Calibri"/>
              </w:rPr>
              <w:t>Supérieure à 33 600 € et inférieure ou égale à 39 000 €</w:t>
            </w:r>
          </w:p>
        </w:tc>
        <w:tc>
          <w:tcPr>
            <w:tcW w:w="5036" w:type="dxa"/>
            <w:shd w:val="clear" w:color="auto" w:fill="auto"/>
            <w:vAlign w:val="center"/>
          </w:tcPr>
          <w:p w:rsidR="003855CF" w:rsidRDefault="003855CF" w:rsidP="00343F35">
            <w:pPr>
              <w:jc w:val="center"/>
              <w:rPr>
                <w:rFonts w:ascii="Calibri" w:hAnsi="Calibri"/>
              </w:rPr>
            </w:pPr>
            <w:r>
              <w:rPr>
                <w:rFonts w:ascii="Calibri" w:hAnsi="Calibri"/>
              </w:rPr>
              <w:t xml:space="preserve">……€ </w:t>
            </w:r>
            <w:r>
              <w:rPr>
                <w:rFonts w:ascii="Calibri" w:hAnsi="Calibri"/>
                <w:i/>
                <w:iCs/>
              </w:rPr>
              <w:t>(dans la limite de 300€)</w:t>
            </w:r>
          </w:p>
        </w:tc>
      </w:tr>
    </w:tbl>
    <w:p w:rsidR="003855CF" w:rsidRDefault="003855CF" w:rsidP="003855CF">
      <w:pPr>
        <w:jc w:val="both"/>
        <w:rPr>
          <w:rFonts w:ascii="Calibri" w:hAnsi="Calibri"/>
        </w:rPr>
      </w:pPr>
    </w:p>
    <w:p w:rsidR="003855CF" w:rsidRDefault="003855CF" w:rsidP="003855CF">
      <w:pPr>
        <w:jc w:val="both"/>
        <w:rPr>
          <w:rFonts w:ascii="Calibri" w:hAnsi="Calibri"/>
        </w:rPr>
      </w:pPr>
      <w:r w:rsidRPr="00C614C6">
        <w:rPr>
          <w:rFonts w:ascii="Calibri" w:hAnsi="Calibri"/>
        </w:rPr>
        <w:t>Le montant de la prime est réduit à proportion de la quotité de travail et de la durée d'emploi sur la période du 1er juillet 2022 au 30 juin 2023.</w:t>
      </w:r>
    </w:p>
    <w:p w:rsidR="003855CF" w:rsidRDefault="003855CF" w:rsidP="003855CF">
      <w:pPr>
        <w:jc w:val="both"/>
        <w:rPr>
          <w:rFonts w:ascii="Calibri" w:hAnsi="Calibri"/>
        </w:rPr>
      </w:pPr>
      <w:r>
        <w:rPr>
          <w:rFonts w:ascii="Calibri" w:hAnsi="Calibri"/>
        </w:rPr>
        <w:lastRenderedPageBreak/>
        <w:t xml:space="preserve">Cas particuliers : </w:t>
      </w:r>
    </w:p>
    <w:p w:rsidR="003855CF" w:rsidRDefault="003855CF" w:rsidP="003855CF">
      <w:pPr>
        <w:jc w:val="both"/>
        <w:rPr>
          <w:rFonts w:ascii="Calibri" w:hAnsi="Calibri" w:cs="Calibri"/>
          <w:bCs/>
        </w:rPr>
      </w:pPr>
      <w:r>
        <w:rPr>
          <w:rFonts w:ascii="Calibri" w:hAnsi="Calibri"/>
        </w:rPr>
        <w:t xml:space="preserve">1 </w:t>
      </w:r>
      <w:r w:rsidRPr="00714E95">
        <w:rPr>
          <w:rFonts w:ascii="Calibri" w:hAnsi="Calibri"/>
        </w:rPr>
        <w:t>Lorsque l’agent</w:t>
      </w:r>
      <w:r w:rsidRPr="0071789D">
        <w:rPr>
          <w:rFonts w:ascii="Calibri" w:hAnsi="Calibri" w:cs="Calibri"/>
          <w:bCs/>
        </w:rPr>
        <w:t xml:space="preserve"> n'a pas été employé et rémunéré pendant la totalité de la période de référence, le montant de la rémunération brute est divisé par le nombre de mois rémunérés sur cette même période puis multiplié par douze pour déterminer la rémunération brute.</w:t>
      </w:r>
    </w:p>
    <w:p w:rsidR="003855CF" w:rsidRDefault="003855CF" w:rsidP="003855CF">
      <w:pPr>
        <w:jc w:val="both"/>
        <w:rPr>
          <w:rFonts w:ascii="Calibri" w:hAnsi="Calibri" w:cs="Calibri"/>
          <w:bCs/>
        </w:rPr>
      </w:pPr>
      <w:r>
        <w:rPr>
          <w:rFonts w:ascii="Calibri" w:hAnsi="Calibri"/>
        </w:rPr>
        <w:t xml:space="preserve">2 </w:t>
      </w:r>
      <w:r w:rsidRPr="00714E95">
        <w:rPr>
          <w:rFonts w:ascii="Calibri" w:hAnsi="Calibri"/>
        </w:rPr>
        <w:t xml:space="preserve">Lorsque </w:t>
      </w:r>
      <w:r>
        <w:rPr>
          <w:rFonts w:ascii="Calibri" w:hAnsi="Calibri"/>
        </w:rPr>
        <w:t>plusieurs employeurs publics</w:t>
      </w:r>
      <w:r w:rsidRPr="0071789D">
        <w:rPr>
          <w:rFonts w:ascii="Calibri" w:hAnsi="Calibri" w:cs="Calibri"/>
          <w:bCs/>
        </w:rPr>
        <w:t xml:space="preserve"> ont successivement employé et rémunéré l'agent au cours de la période de référence, la rémunération prise en compte est celle versée par la collectivité, l'établissement </w:t>
      </w:r>
      <w:r>
        <w:rPr>
          <w:rFonts w:ascii="Calibri" w:hAnsi="Calibri" w:cs="Calibri"/>
          <w:bCs/>
        </w:rPr>
        <w:t xml:space="preserve">ou le groupement </w:t>
      </w:r>
      <w:r w:rsidRPr="0071789D">
        <w:rPr>
          <w:rFonts w:ascii="Calibri" w:hAnsi="Calibri" w:cs="Calibri"/>
          <w:bCs/>
        </w:rPr>
        <w:t>qui emploie et rémunère l'agent au 30 juin 2023, corrigée</w:t>
      </w:r>
      <w:r>
        <w:rPr>
          <w:rFonts w:ascii="Calibri" w:hAnsi="Calibri" w:cs="Calibri"/>
          <w:bCs/>
        </w:rPr>
        <w:t xml:space="preserve"> selon les modalités prévues au 1 </w:t>
      </w:r>
      <w:r w:rsidRPr="0071789D">
        <w:rPr>
          <w:rFonts w:ascii="Calibri" w:hAnsi="Calibri" w:cs="Calibri"/>
          <w:bCs/>
        </w:rPr>
        <w:t xml:space="preserve">pour correspondre à une année pleine. </w:t>
      </w:r>
    </w:p>
    <w:p w:rsidR="003855CF" w:rsidRPr="0071789D" w:rsidRDefault="003855CF" w:rsidP="003855CF">
      <w:pPr>
        <w:jc w:val="both"/>
        <w:rPr>
          <w:rFonts w:ascii="Calibri" w:hAnsi="Calibri" w:cs="Calibri"/>
          <w:bCs/>
        </w:rPr>
      </w:pPr>
      <w:r>
        <w:rPr>
          <w:rFonts w:ascii="Calibri" w:hAnsi="Calibri"/>
        </w:rPr>
        <w:t xml:space="preserve">3 </w:t>
      </w:r>
      <w:r w:rsidRPr="00714E95">
        <w:rPr>
          <w:rFonts w:ascii="Calibri" w:hAnsi="Calibri"/>
        </w:rPr>
        <w:t xml:space="preserve">Lorsque </w:t>
      </w:r>
      <w:r>
        <w:rPr>
          <w:rFonts w:ascii="Calibri" w:hAnsi="Calibri"/>
        </w:rPr>
        <w:t>plusieurs employeurs publics</w:t>
      </w:r>
      <w:r w:rsidRPr="004552A0">
        <w:rPr>
          <w:rFonts w:ascii="Calibri" w:hAnsi="Calibri" w:cs="Calibri"/>
          <w:bCs/>
        </w:rPr>
        <w:t xml:space="preserve"> </w:t>
      </w:r>
      <w:r w:rsidRPr="0071789D">
        <w:rPr>
          <w:rFonts w:ascii="Calibri" w:hAnsi="Calibri" w:cs="Calibri"/>
          <w:bCs/>
        </w:rPr>
        <w:t xml:space="preserve">emploient et rémunèrent simultanément l'agent au 30 juin 2023, la rémunération prise en compte est celle versée par chaque collectivité, établissement </w:t>
      </w:r>
      <w:r>
        <w:rPr>
          <w:rFonts w:ascii="Calibri" w:hAnsi="Calibri" w:cs="Calibri"/>
          <w:bCs/>
        </w:rPr>
        <w:t>ou groupement corrigée selon les modalités prévues au 1 pour correspondre</w:t>
      </w:r>
      <w:r w:rsidRPr="0071789D">
        <w:rPr>
          <w:rFonts w:ascii="Calibri" w:hAnsi="Calibri" w:cs="Calibri"/>
          <w:bCs/>
        </w:rPr>
        <w:t xml:space="preserve"> à une année pleine.</w:t>
      </w:r>
    </w:p>
    <w:p w:rsidR="003855CF" w:rsidRDefault="003855CF" w:rsidP="003855CF">
      <w:pPr>
        <w:jc w:val="both"/>
        <w:rPr>
          <w:rFonts w:ascii="Calibri" w:hAnsi="Calibri"/>
        </w:rPr>
      </w:pPr>
      <w:r w:rsidRPr="00C614C6">
        <w:rPr>
          <w:rFonts w:ascii="Calibri" w:hAnsi="Calibri"/>
        </w:rPr>
        <w:t>Cette prime est cumulable avec toutes primes et indemnités perçues par l’agent</w:t>
      </w:r>
      <w:r>
        <w:rPr>
          <w:rFonts w:ascii="Calibri" w:hAnsi="Calibri"/>
        </w:rPr>
        <w:t xml:space="preserve"> </w:t>
      </w:r>
      <w:r w:rsidRPr="0071789D">
        <w:rPr>
          <w:rFonts w:ascii="Calibri" w:hAnsi="Calibri" w:cs="Calibri"/>
        </w:rPr>
        <w:t>à l'exception de la prime de pouvoir d’achat prévue par le décret du 31 juillet 2023 pour les agents de l’Etat et de l’hospitalière</w:t>
      </w:r>
      <w:r w:rsidRPr="00C614C6">
        <w:rPr>
          <w:rFonts w:ascii="Calibri" w:hAnsi="Calibri"/>
        </w:rPr>
        <w:t>.</w:t>
      </w:r>
    </w:p>
    <w:p w:rsidR="003855CF" w:rsidRPr="00753090" w:rsidRDefault="003855CF" w:rsidP="003855CF">
      <w:pPr>
        <w:jc w:val="both"/>
        <w:rPr>
          <w:rFonts w:ascii="Calibri" w:hAnsi="Calibri"/>
        </w:rPr>
      </w:pPr>
      <w:r>
        <w:rPr>
          <w:rFonts w:ascii="Calibri" w:hAnsi="Calibri"/>
        </w:rPr>
        <w:t xml:space="preserve">La prime pouvoir d’achat exceptionnelle </w:t>
      </w:r>
      <w:r w:rsidRPr="00217A96">
        <w:rPr>
          <w:rFonts w:ascii="Calibri" w:hAnsi="Calibri"/>
        </w:rPr>
        <w:t>fait l’objet d</w:t>
      </w:r>
      <w:r>
        <w:rPr>
          <w:rFonts w:ascii="Calibri" w:hAnsi="Calibri"/>
        </w:rPr>
        <w:t>’un versement un</w:t>
      </w:r>
      <w:r w:rsidRPr="00753090">
        <w:rPr>
          <w:rFonts w:ascii="Calibri" w:hAnsi="Calibri"/>
        </w:rPr>
        <w:t xml:space="preserve">ique au mois de </w:t>
      </w:r>
      <w:r w:rsidRPr="00753090">
        <w:rPr>
          <w:rFonts w:ascii="Calibri" w:hAnsi="Calibri" w:cs="Calibri"/>
        </w:rPr>
        <w:t>……………</w:t>
      </w:r>
      <w:r>
        <w:rPr>
          <w:rFonts w:ascii="Calibri" w:hAnsi="Calibri" w:cs="Calibri"/>
          <w:color w:val="C45911"/>
        </w:rPr>
        <w:t xml:space="preserve"> </w:t>
      </w:r>
      <w:r w:rsidRPr="00753090">
        <w:rPr>
          <w:rFonts w:ascii="Calibri" w:hAnsi="Calibri" w:cs="Calibri"/>
          <w:i/>
          <w:iCs/>
        </w:rPr>
        <w:t>(avant le 30 juin 2024)</w:t>
      </w:r>
    </w:p>
    <w:p w:rsidR="003855CF" w:rsidRPr="002C0C0F" w:rsidRDefault="003855CF" w:rsidP="003855CF">
      <w:pPr>
        <w:jc w:val="both"/>
        <w:rPr>
          <w:rFonts w:ascii="Calibri" w:hAnsi="Calibri"/>
          <w:b/>
          <w:i/>
          <w:u w:val="single"/>
        </w:rPr>
      </w:pPr>
      <w:r w:rsidRPr="002C0C0F">
        <w:rPr>
          <w:rFonts w:ascii="Calibri" w:hAnsi="Calibri"/>
          <w:b/>
          <w:i/>
          <w:u w:val="single"/>
        </w:rPr>
        <w:t>OU</w:t>
      </w:r>
    </w:p>
    <w:p w:rsidR="003855CF" w:rsidRPr="002C0C0F" w:rsidRDefault="003855CF" w:rsidP="003855CF">
      <w:pPr>
        <w:jc w:val="both"/>
        <w:rPr>
          <w:rFonts w:ascii="Calibri" w:hAnsi="Calibri"/>
        </w:rPr>
      </w:pPr>
      <w:r>
        <w:rPr>
          <w:rFonts w:ascii="Calibri" w:hAnsi="Calibri"/>
        </w:rPr>
        <w:t xml:space="preserve">La prime pouvoir d’achat exceptionnelle </w:t>
      </w:r>
      <w:r w:rsidRPr="002C0C0F">
        <w:rPr>
          <w:rFonts w:ascii="Calibri" w:hAnsi="Calibri" w:cs="Calibri"/>
        </w:rPr>
        <w:t xml:space="preserve">fait l’objet d’un versement en …… fois, </w:t>
      </w:r>
      <w:r>
        <w:rPr>
          <w:rFonts w:ascii="Calibri" w:hAnsi="Calibri" w:cs="Calibri"/>
        </w:rPr>
        <w:t>selon l’échéancier suivant :</w:t>
      </w:r>
    </w:p>
    <w:tbl>
      <w:tblPr>
        <w:tblStyle w:val="Grilledutableau"/>
        <w:tblW w:w="0" w:type="auto"/>
        <w:tblLook w:val="04A0" w:firstRow="1" w:lastRow="0" w:firstColumn="1" w:lastColumn="0" w:noHBand="0" w:noVBand="1"/>
      </w:tblPr>
      <w:tblGrid>
        <w:gridCol w:w="1980"/>
        <w:gridCol w:w="3969"/>
        <w:gridCol w:w="3488"/>
      </w:tblGrid>
      <w:tr w:rsidR="00C5691B" w:rsidTr="00C5691B">
        <w:tc>
          <w:tcPr>
            <w:tcW w:w="5949" w:type="dxa"/>
            <w:gridSpan w:val="2"/>
          </w:tcPr>
          <w:p w:rsidR="00C5691B" w:rsidRDefault="00C5691B" w:rsidP="00C5691B">
            <w:pPr>
              <w:jc w:val="right"/>
              <w:rPr>
                <w:rFonts w:ascii="Calibri" w:hAnsi="Calibri"/>
              </w:rPr>
            </w:pPr>
            <w:r>
              <w:rPr>
                <w:rFonts w:ascii="Calibri" w:hAnsi="Calibri"/>
              </w:rPr>
              <w:t>Dates prévisionnelles</w:t>
            </w:r>
          </w:p>
        </w:tc>
        <w:tc>
          <w:tcPr>
            <w:tcW w:w="3488" w:type="dxa"/>
          </w:tcPr>
          <w:p w:rsidR="00C5691B" w:rsidRDefault="00710CC2" w:rsidP="00C5691B">
            <w:pPr>
              <w:jc w:val="right"/>
              <w:rPr>
                <w:rFonts w:ascii="Calibri" w:hAnsi="Calibri"/>
              </w:rPr>
            </w:pPr>
            <w:r>
              <w:rPr>
                <w:rFonts w:ascii="Calibri" w:hAnsi="Calibri"/>
              </w:rPr>
              <w:t>% de versement</w:t>
            </w:r>
          </w:p>
        </w:tc>
      </w:tr>
      <w:tr w:rsidR="00C5691B" w:rsidTr="00C5691B">
        <w:tc>
          <w:tcPr>
            <w:tcW w:w="1980" w:type="dxa"/>
          </w:tcPr>
          <w:p w:rsidR="00C5691B" w:rsidRDefault="00C5691B" w:rsidP="00C5691B">
            <w:pPr>
              <w:jc w:val="right"/>
              <w:rPr>
                <w:rFonts w:ascii="Calibri" w:hAnsi="Calibri"/>
              </w:rPr>
            </w:pPr>
            <w:bookmarkStart w:id="1" w:name="_GoBack"/>
            <w:r>
              <w:rPr>
                <w:rFonts w:ascii="Calibri" w:hAnsi="Calibri"/>
              </w:rPr>
              <w:t>1</w:t>
            </w:r>
            <w:r w:rsidRPr="00C5691B">
              <w:rPr>
                <w:rFonts w:ascii="Calibri" w:hAnsi="Calibri"/>
                <w:vertAlign w:val="superscript"/>
              </w:rPr>
              <w:t>er</w:t>
            </w:r>
            <w:r>
              <w:rPr>
                <w:rFonts w:ascii="Calibri" w:hAnsi="Calibri"/>
              </w:rPr>
              <w:t xml:space="preserve"> versement</w:t>
            </w:r>
            <w:bookmarkEnd w:id="1"/>
          </w:p>
        </w:tc>
        <w:tc>
          <w:tcPr>
            <w:tcW w:w="3969" w:type="dxa"/>
          </w:tcPr>
          <w:p w:rsidR="00C5691B" w:rsidRDefault="00C5691B" w:rsidP="003855CF">
            <w:pPr>
              <w:jc w:val="both"/>
              <w:rPr>
                <w:rFonts w:ascii="Calibri" w:hAnsi="Calibri"/>
              </w:rPr>
            </w:pPr>
          </w:p>
        </w:tc>
        <w:tc>
          <w:tcPr>
            <w:tcW w:w="3488" w:type="dxa"/>
          </w:tcPr>
          <w:p w:rsidR="00C5691B" w:rsidRDefault="00C5691B" w:rsidP="003855CF">
            <w:pPr>
              <w:jc w:val="both"/>
              <w:rPr>
                <w:rFonts w:ascii="Calibri" w:hAnsi="Calibri"/>
              </w:rPr>
            </w:pPr>
          </w:p>
        </w:tc>
      </w:tr>
      <w:tr w:rsidR="00C5691B" w:rsidTr="00C5691B">
        <w:tc>
          <w:tcPr>
            <w:tcW w:w="1980" w:type="dxa"/>
          </w:tcPr>
          <w:p w:rsidR="00C5691B" w:rsidRDefault="00C5691B" w:rsidP="00C5691B">
            <w:pPr>
              <w:jc w:val="right"/>
              <w:rPr>
                <w:rFonts w:ascii="Calibri" w:hAnsi="Calibri"/>
              </w:rPr>
            </w:pPr>
            <w:r>
              <w:rPr>
                <w:rFonts w:ascii="Calibri" w:hAnsi="Calibri"/>
              </w:rPr>
              <w:t>2</w:t>
            </w:r>
            <w:r w:rsidRPr="00C5691B">
              <w:rPr>
                <w:rFonts w:ascii="Calibri" w:hAnsi="Calibri"/>
                <w:vertAlign w:val="superscript"/>
              </w:rPr>
              <w:t>ème</w:t>
            </w:r>
            <w:r>
              <w:rPr>
                <w:rFonts w:ascii="Calibri" w:hAnsi="Calibri"/>
              </w:rPr>
              <w:t xml:space="preserve"> versement</w:t>
            </w:r>
          </w:p>
        </w:tc>
        <w:tc>
          <w:tcPr>
            <w:tcW w:w="3969" w:type="dxa"/>
          </w:tcPr>
          <w:p w:rsidR="00C5691B" w:rsidRDefault="00C5691B" w:rsidP="003855CF">
            <w:pPr>
              <w:jc w:val="both"/>
              <w:rPr>
                <w:rFonts w:ascii="Calibri" w:hAnsi="Calibri"/>
              </w:rPr>
            </w:pPr>
          </w:p>
        </w:tc>
        <w:tc>
          <w:tcPr>
            <w:tcW w:w="3488" w:type="dxa"/>
          </w:tcPr>
          <w:p w:rsidR="00C5691B" w:rsidRDefault="00C5691B" w:rsidP="003855CF">
            <w:pPr>
              <w:jc w:val="both"/>
              <w:rPr>
                <w:rFonts w:ascii="Calibri" w:hAnsi="Calibri"/>
              </w:rPr>
            </w:pPr>
          </w:p>
        </w:tc>
      </w:tr>
      <w:tr w:rsidR="00C5691B" w:rsidTr="00C5691B">
        <w:tc>
          <w:tcPr>
            <w:tcW w:w="1980" w:type="dxa"/>
          </w:tcPr>
          <w:p w:rsidR="00C5691B" w:rsidRDefault="00C5691B" w:rsidP="00C5691B">
            <w:pPr>
              <w:jc w:val="right"/>
              <w:rPr>
                <w:rFonts w:ascii="Calibri" w:hAnsi="Calibri"/>
              </w:rPr>
            </w:pPr>
            <w:r>
              <w:rPr>
                <w:rFonts w:ascii="Calibri" w:hAnsi="Calibri"/>
              </w:rPr>
              <w:t>3</w:t>
            </w:r>
            <w:r w:rsidRPr="00C5691B">
              <w:rPr>
                <w:rFonts w:ascii="Calibri" w:hAnsi="Calibri"/>
                <w:vertAlign w:val="superscript"/>
              </w:rPr>
              <w:t>ème</w:t>
            </w:r>
            <w:r>
              <w:rPr>
                <w:rFonts w:ascii="Calibri" w:hAnsi="Calibri"/>
              </w:rPr>
              <w:t xml:space="preserve"> versement</w:t>
            </w:r>
          </w:p>
        </w:tc>
        <w:tc>
          <w:tcPr>
            <w:tcW w:w="3969" w:type="dxa"/>
          </w:tcPr>
          <w:p w:rsidR="00C5691B" w:rsidRDefault="00C5691B" w:rsidP="003855CF">
            <w:pPr>
              <w:jc w:val="both"/>
              <w:rPr>
                <w:rFonts w:ascii="Calibri" w:hAnsi="Calibri"/>
              </w:rPr>
            </w:pPr>
          </w:p>
        </w:tc>
        <w:tc>
          <w:tcPr>
            <w:tcW w:w="3488" w:type="dxa"/>
          </w:tcPr>
          <w:p w:rsidR="00C5691B" w:rsidRDefault="00C5691B" w:rsidP="003855CF">
            <w:pPr>
              <w:jc w:val="both"/>
              <w:rPr>
                <w:rFonts w:ascii="Calibri" w:hAnsi="Calibri"/>
              </w:rPr>
            </w:pPr>
          </w:p>
        </w:tc>
      </w:tr>
      <w:tr w:rsidR="00C5691B" w:rsidTr="00C5691B">
        <w:tc>
          <w:tcPr>
            <w:tcW w:w="1980" w:type="dxa"/>
          </w:tcPr>
          <w:p w:rsidR="00C5691B" w:rsidRDefault="00C5691B" w:rsidP="00C5691B">
            <w:pPr>
              <w:jc w:val="right"/>
              <w:rPr>
                <w:rFonts w:ascii="Calibri" w:hAnsi="Calibri"/>
              </w:rPr>
            </w:pPr>
            <w:r>
              <w:rPr>
                <w:rFonts w:ascii="Calibri" w:hAnsi="Calibri"/>
              </w:rPr>
              <w:t>4</w:t>
            </w:r>
            <w:r w:rsidRPr="00C5691B">
              <w:rPr>
                <w:rFonts w:ascii="Calibri" w:hAnsi="Calibri"/>
                <w:vertAlign w:val="superscript"/>
              </w:rPr>
              <w:t>ème</w:t>
            </w:r>
            <w:r>
              <w:rPr>
                <w:rFonts w:ascii="Calibri" w:hAnsi="Calibri"/>
              </w:rPr>
              <w:t xml:space="preserve"> versement</w:t>
            </w:r>
          </w:p>
        </w:tc>
        <w:tc>
          <w:tcPr>
            <w:tcW w:w="3969" w:type="dxa"/>
          </w:tcPr>
          <w:p w:rsidR="00C5691B" w:rsidRDefault="00C5691B" w:rsidP="003855CF">
            <w:pPr>
              <w:jc w:val="both"/>
              <w:rPr>
                <w:rFonts w:ascii="Calibri" w:hAnsi="Calibri"/>
              </w:rPr>
            </w:pPr>
          </w:p>
        </w:tc>
        <w:tc>
          <w:tcPr>
            <w:tcW w:w="3488" w:type="dxa"/>
          </w:tcPr>
          <w:p w:rsidR="00C5691B" w:rsidRDefault="00C5691B" w:rsidP="003855CF">
            <w:pPr>
              <w:jc w:val="both"/>
              <w:rPr>
                <w:rFonts w:ascii="Calibri" w:hAnsi="Calibri"/>
              </w:rPr>
            </w:pPr>
          </w:p>
        </w:tc>
      </w:tr>
      <w:tr w:rsidR="00C5691B" w:rsidTr="00C5691B">
        <w:tc>
          <w:tcPr>
            <w:tcW w:w="1980" w:type="dxa"/>
          </w:tcPr>
          <w:p w:rsidR="00C5691B" w:rsidRDefault="00C5691B" w:rsidP="003855CF">
            <w:pPr>
              <w:jc w:val="both"/>
              <w:rPr>
                <w:rFonts w:ascii="Calibri" w:hAnsi="Calibri"/>
              </w:rPr>
            </w:pPr>
            <w:r>
              <w:rPr>
                <w:rFonts w:ascii="Calibri" w:hAnsi="Calibri"/>
              </w:rPr>
              <w:t>…</w:t>
            </w:r>
          </w:p>
        </w:tc>
        <w:tc>
          <w:tcPr>
            <w:tcW w:w="3969" w:type="dxa"/>
          </w:tcPr>
          <w:p w:rsidR="00C5691B" w:rsidRDefault="00C5691B" w:rsidP="003855CF">
            <w:pPr>
              <w:jc w:val="both"/>
              <w:rPr>
                <w:rFonts w:ascii="Calibri" w:hAnsi="Calibri"/>
              </w:rPr>
            </w:pPr>
          </w:p>
        </w:tc>
        <w:tc>
          <w:tcPr>
            <w:tcW w:w="3488" w:type="dxa"/>
          </w:tcPr>
          <w:p w:rsidR="00C5691B" w:rsidRDefault="00C5691B" w:rsidP="003855CF">
            <w:pPr>
              <w:jc w:val="both"/>
              <w:rPr>
                <w:rFonts w:ascii="Calibri" w:hAnsi="Calibri"/>
              </w:rPr>
            </w:pPr>
          </w:p>
        </w:tc>
      </w:tr>
    </w:tbl>
    <w:p w:rsidR="00C5691B" w:rsidRDefault="00C5691B" w:rsidP="00C5691B">
      <w:pPr>
        <w:spacing w:after="0"/>
        <w:jc w:val="both"/>
        <w:rPr>
          <w:rFonts w:ascii="Calibri" w:hAnsi="Calibri"/>
        </w:rPr>
      </w:pPr>
    </w:p>
    <w:p w:rsidR="003855CF" w:rsidRPr="00217A96" w:rsidRDefault="003855CF" w:rsidP="00C5691B">
      <w:pPr>
        <w:spacing w:after="0"/>
        <w:jc w:val="both"/>
        <w:rPr>
          <w:rFonts w:ascii="Calibri" w:hAnsi="Calibri"/>
        </w:rPr>
      </w:pPr>
      <w:r w:rsidRPr="002C0C0F">
        <w:rPr>
          <w:rFonts w:ascii="Calibri" w:hAnsi="Calibri"/>
        </w:rPr>
        <w:t>Elle</w:t>
      </w:r>
      <w:r w:rsidRPr="00EC0F14">
        <w:rPr>
          <w:rFonts w:ascii="Calibri" w:hAnsi="Calibri"/>
          <w:color w:val="C45911"/>
        </w:rPr>
        <w:t xml:space="preserve"> </w:t>
      </w:r>
      <w:r w:rsidRPr="00217A96">
        <w:rPr>
          <w:rFonts w:ascii="Calibri" w:hAnsi="Calibri"/>
        </w:rPr>
        <w:t>n’est pas reconductible.</w:t>
      </w:r>
    </w:p>
    <w:p w:rsidR="003855CF" w:rsidRPr="00217A96" w:rsidRDefault="003855CF" w:rsidP="003855CF">
      <w:pPr>
        <w:jc w:val="both"/>
        <w:rPr>
          <w:rFonts w:ascii="Calibri" w:hAnsi="Calibri"/>
        </w:rPr>
      </w:pPr>
      <w:r>
        <w:rPr>
          <w:rFonts w:ascii="Calibri" w:hAnsi="Calibri"/>
        </w:rPr>
        <w:t>L’attribution de la prime exceptionnelle à chaque agent fait l’objet d’un arrêté</w:t>
      </w:r>
      <w:r w:rsidRPr="00217A96">
        <w:rPr>
          <w:rFonts w:ascii="Calibri" w:hAnsi="Calibri"/>
        </w:rPr>
        <w:t xml:space="preserve"> individuel conformément aux modalités d’attr</w:t>
      </w:r>
      <w:r>
        <w:rPr>
          <w:rFonts w:ascii="Calibri" w:hAnsi="Calibri"/>
        </w:rPr>
        <w:t>ibution définies par la présente</w:t>
      </w:r>
      <w:r w:rsidRPr="00217A96">
        <w:rPr>
          <w:rFonts w:ascii="Calibri" w:hAnsi="Calibri"/>
        </w:rPr>
        <w:t xml:space="preserve"> délibération.</w:t>
      </w:r>
    </w:p>
    <w:p w:rsidR="003855CF" w:rsidRPr="00A608F2" w:rsidRDefault="003855CF" w:rsidP="003855CF">
      <w:pPr>
        <w:spacing w:before="240"/>
        <w:ind w:right="72"/>
        <w:jc w:val="both"/>
        <w:rPr>
          <w:rFonts w:ascii="Calibri" w:hAnsi="Calibri"/>
          <w:b/>
          <w:color w:val="000000"/>
        </w:rPr>
      </w:pPr>
      <w:r w:rsidRPr="00A608F2">
        <w:rPr>
          <w:rFonts w:ascii="Calibri" w:hAnsi="Calibri"/>
          <w:b/>
          <w:color w:val="000000"/>
        </w:rPr>
        <w:t xml:space="preserve">Après en avoir délibéré, le ………………. </w:t>
      </w:r>
      <w:r w:rsidRPr="00360246">
        <w:rPr>
          <w:rFonts w:ascii="Calibri" w:hAnsi="Calibri"/>
          <w:b/>
          <w:i/>
          <w:color w:val="000000"/>
        </w:rPr>
        <w:t>(</w:t>
      </w:r>
      <w:r w:rsidRPr="00105C6C">
        <w:rPr>
          <w:rFonts w:ascii="Calibri" w:hAnsi="Calibri"/>
          <w:b/>
          <w:i/>
          <w:color w:val="000000"/>
        </w:rPr>
        <w:t>organe délibérant</w:t>
      </w:r>
      <w:r w:rsidRPr="00360246">
        <w:rPr>
          <w:rFonts w:ascii="Calibri" w:hAnsi="Calibri"/>
          <w:b/>
          <w:i/>
          <w:color w:val="000000"/>
        </w:rPr>
        <w:t xml:space="preserve">) </w:t>
      </w:r>
      <w:r w:rsidRPr="00A608F2">
        <w:rPr>
          <w:rFonts w:ascii="Calibri" w:hAnsi="Calibri"/>
          <w:b/>
          <w:color w:val="000000"/>
        </w:rPr>
        <w:t>décide :</w:t>
      </w:r>
    </w:p>
    <w:p w:rsidR="003855CF" w:rsidRDefault="003855CF" w:rsidP="003855CF">
      <w:pPr>
        <w:pStyle w:val="articlecontenu"/>
        <w:tabs>
          <w:tab w:val="left" w:pos="-284"/>
        </w:tabs>
        <w:spacing w:after="0"/>
        <w:ind w:firstLine="0"/>
        <w:rPr>
          <w:rFonts w:ascii="Calibri" w:hAnsi="Calibri" w:cs="Times New Roman"/>
        </w:rPr>
      </w:pPr>
      <w:r>
        <w:rPr>
          <w:rFonts w:ascii="Calibri" w:hAnsi="Calibri" w:cs="Times New Roman"/>
        </w:rPr>
        <w:t>D’instaurer la prime exceptionnelle de pouvoir d’achat</w:t>
      </w:r>
      <w:r w:rsidRPr="00177746">
        <w:rPr>
          <w:rFonts w:ascii="Calibri" w:hAnsi="Calibri" w:cs="Times New Roman"/>
        </w:rPr>
        <w:t xml:space="preserve"> </w:t>
      </w:r>
      <w:r>
        <w:rPr>
          <w:rFonts w:ascii="Calibri" w:hAnsi="Calibri" w:cs="Times New Roman"/>
        </w:rPr>
        <w:t>selon les modalités d’attribution définies ci-dessus.</w:t>
      </w:r>
    </w:p>
    <w:p w:rsidR="003855CF" w:rsidRDefault="003855CF" w:rsidP="003855CF">
      <w:pPr>
        <w:pStyle w:val="articlecontenu"/>
        <w:tabs>
          <w:tab w:val="left" w:pos="-284"/>
        </w:tabs>
        <w:spacing w:after="0"/>
        <w:ind w:firstLine="0"/>
        <w:rPr>
          <w:rFonts w:ascii="Calibri" w:hAnsi="Calibri" w:cs="Times New Roman"/>
        </w:rPr>
      </w:pPr>
    </w:p>
    <w:p w:rsidR="003855CF" w:rsidRDefault="003855CF" w:rsidP="003855CF">
      <w:pPr>
        <w:pStyle w:val="articlecontenu"/>
        <w:tabs>
          <w:tab w:val="left" w:pos="-284"/>
        </w:tabs>
        <w:spacing w:after="0"/>
        <w:ind w:firstLine="0"/>
        <w:rPr>
          <w:rFonts w:ascii="Calibri" w:hAnsi="Calibri" w:cs="Times New Roman"/>
        </w:rPr>
      </w:pPr>
      <w:r>
        <w:rPr>
          <w:rFonts w:ascii="Calibri" w:hAnsi="Calibri" w:cs="Times New Roman"/>
        </w:rPr>
        <w:t>Les crédits correspondants seront prévus et inscrits au budget</w:t>
      </w:r>
    </w:p>
    <w:p w:rsidR="003855CF" w:rsidRDefault="003855CF" w:rsidP="003855CF">
      <w:pPr>
        <w:pStyle w:val="articlecontenu"/>
        <w:tabs>
          <w:tab w:val="left" w:pos="-284"/>
        </w:tabs>
        <w:spacing w:after="0"/>
        <w:ind w:firstLine="0"/>
        <w:rPr>
          <w:rFonts w:ascii="Calibri" w:hAnsi="Calibri" w:cs="Times New Roman"/>
          <w:i/>
        </w:rPr>
      </w:pPr>
    </w:p>
    <w:p w:rsidR="003855CF" w:rsidRPr="006524B7" w:rsidRDefault="003855CF" w:rsidP="003855CF">
      <w:pPr>
        <w:tabs>
          <w:tab w:val="left" w:pos="-284"/>
        </w:tabs>
        <w:jc w:val="both"/>
        <w:rPr>
          <w:rFonts w:ascii="Calibri" w:hAnsi="Calibri"/>
        </w:rPr>
      </w:pPr>
      <w:r w:rsidRPr="006524B7">
        <w:rPr>
          <w:rFonts w:ascii="Calibri" w:hAnsi="Calibri"/>
        </w:rPr>
        <w:t>Fait à ..............................., le .........................</w:t>
      </w:r>
    </w:p>
    <w:p w:rsidR="003855CF" w:rsidRPr="006524B7" w:rsidRDefault="003855CF" w:rsidP="003855CF">
      <w:pPr>
        <w:tabs>
          <w:tab w:val="left" w:pos="-284"/>
        </w:tabs>
        <w:jc w:val="right"/>
        <w:rPr>
          <w:rFonts w:ascii="Calibri" w:hAnsi="Calibri"/>
        </w:rPr>
      </w:pPr>
      <w:r>
        <w:rPr>
          <w:rFonts w:ascii="Calibri" w:hAnsi="Calibri"/>
        </w:rPr>
        <w:t>Pour</w:t>
      </w:r>
      <w:r w:rsidRPr="006524B7">
        <w:rPr>
          <w:rFonts w:ascii="Calibri" w:hAnsi="Calibri"/>
        </w:rPr>
        <w:t xml:space="preserve"> extrait </w:t>
      </w:r>
      <w:r>
        <w:rPr>
          <w:rFonts w:ascii="Calibri" w:hAnsi="Calibri"/>
        </w:rPr>
        <w:t xml:space="preserve">certifié </w:t>
      </w:r>
      <w:r w:rsidRPr="006524B7">
        <w:rPr>
          <w:rFonts w:ascii="Calibri" w:hAnsi="Calibri"/>
        </w:rPr>
        <w:t>conforme</w:t>
      </w:r>
      <w:r>
        <w:rPr>
          <w:rFonts w:ascii="Calibri" w:hAnsi="Calibri"/>
        </w:rPr>
        <w:t>,</w:t>
      </w:r>
    </w:p>
    <w:p w:rsidR="003855CF" w:rsidRPr="006524B7" w:rsidRDefault="003855CF" w:rsidP="003855CF">
      <w:pPr>
        <w:tabs>
          <w:tab w:val="left" w:pos="-284"/>
        </w:tabs>
        <w:jc w:val="right"/>
        <w:rPr>
          <w:rFonts w:ascii="Calibri" w:hAnsi="Calibri"/>
        </w:rPr>
      </w:pPr>
      <w:r w:rsidRPr="006524B7">
        <w:rPr>
          <w:rFonts w:ascii="Calibri" w:hAnsi="Calibri"/>
        </w:rPr>
        <w:t>Le ……………………… (</w:t>
      </w:r>
      <w:r w:rsidRPr="00534F7E">
        <w:rPr>
          <w:rFonts w:ascii="Calibri" w:hAnsi="Calibri"/>
          <w:i/>
        </w:rPr>
        <w:t>autorité territoriale</w:t>
      </w:r>
      <w:r w:rsidRPr="006524B7">
        <w:rPr>
          <w:rFonts w:ascii="Calibri" w:hAnsi="Calibri"/>
        </w:rPr>
        <w:t>)</w:t>
      </w:r>
    </w:p>
    <w:p w:rsidR="003855CF" w:rsidRDefault="003855CF" w:rsidP="003855CF">
      <w:pPr>
        <w:tabs>
          <w:tab w:val="left" w:pos="-284"/>
        </w:tabs>
        <w:jc w:val="right"/>
        <w:rPr>
          <w:rFonts w:ascii="Calibri" w:hAnsi="Calibri"/>
        </w:rPr>
      </w:pPr>
      <w:r>
        <w:rPr>
          <w:rFonts w:ascii="Calibri" w:hAnsi="Calibri"/>
        </w:rPr>
        <w:t>(Nom-Prénom)</w:t>
      </w:r>
    </w:p>
    <w:p w:rsidR="003855CF" w:rsidRPr="00B6146C" w:rsidRDefault="003855CF" w:rsidP="003855CF">
      <w:pPr>
        <w:tabs>
          <w:tab w:val="left" w:pos="-284"/>
        </w:tabs>
        <w:jc w:val="right"/>
        <w:rPr>
          <w:rFonts w:ascii="Calibri" w:hAnsi="Calibri"/>
        </w:rPr>
      </w:pPr>
      <w:r w:rsidRPr="006524B7">
        <w:rPr>
          <w:rFonts w:ascii="Calibri" w:hAnsi="Calibri"/>
        </w:rPr>
        <w:t>(signatu</w:t>
      </w:r>
      <w:r>
        <w:rPr>
          <w:rFonts w:ascii="Calibri" w:hAnsi="Calibri"/>
        </w:rPr>
        <w:t>r</w:t>
      </w:r>
      <w:r w:rsidRPr="006524B7">
        <w:rPr>
          <w:rFonts w:ascii="Calibri" w:hAnsi="Calibri"/>
        </w:rPr>
        <w:t>e)</w:t>
      </w:r>
    </w:p>
    <w:p w:rsidR="003855CF" w:rsidRPr="00DE0583" w:rsidRDefault="003855CF" w:rsidP="003855CF">
      <w:pPr>
        <w:pStyle w:val="articlecontenu"/>
        <w:tabs>
          <w:tab w:val="left" w:pos="-284"/>
        </w:tabs>
        <w:spacing w:after="0"/>
        <w:ind w:firstLine="0"/>
        <w:rPr>
          <w:rFonts w:ascii="Calibri" w:hAnsi="Calibri" w:cs="Times New Roman"/>
          <w:bCs/>
          <w:u w:val="single"/>
        </w:rPr>
      </w:pPr>
      <w:r w:rsidRPr="00DE0583">
        <w:rPr>
          <w:rFonts w:ascii="Calibri" w:hAnsi="Calibri" w:cs="Times New Roman"/>
          <w:bCs/>
          <w:u w:val="single"/>
        </w:rPr>
        <w:t>Transmission contrôle de légalité</w:t>
      </w:r>
    </w:p>
    <w:p w:rsidR="003855CF" w:rsidRPr="00C5691B" w:rsidRDefault="003855CF" w:rsidP="00C5691B">
      <w:pPr>
        <w:pStyle w:val="articlecontenu"/>
        <w:tabs>
          <w:tab w:val="left" w:pos="-284"/>
        </w:tabs>
        <w:spacing w:after="0"/>
        <w:ind w:firstLine="0"/>
        <w:rPr>
          <w:rFonts w:ascii="Calibri" w:hAnsi="Calibri" w:cs="Times New Roman"/>
          <w:bCs/>
          <w:u w:val="single"/>
        </w:rPr>
      </w:pPr>
      <w:r w:rsidRPr="00AD4010">
        <w:rPr>
          <w:rFonts w:ascii="Calibri" w:hAnsi="Calibri" w:cs="Times New Roman"/>
          <w:bCs/>
          <w:u w:val="single"/>
        </w:rPr>
        <w:t>Publiée le …………………</w:t>
      </w:r>
    </w:p>
    <w:sectPr w:rsidR="003855CF" w:rsidRPr="00C5691B" w:rsidSect="003855CF">
      <w:headerReference w:type="default" r:id="rId8"/>
      <w:footerReference w:type="default" r:id="rId9"/>
      <w:pgSz w:w="11906" w:h="16838" w:code="9"/>
      <w:pgMar w:top="1021" w:right="1274" w:bottom="851" w:left="1185" w:header="426" w:footer="41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76" w:rsidRDefault="00AB6876" w:rsidP="00A8589F">
      <w:pPr>
        <w:spacing w:after="0" w:line="240" w:lineRule="auto"/>
      </w:pPr>
      <w:r>
        <w:separator/>
      </w:r>
    </w:p>
  </w:endnote>
  <w:endnote w:type="continuationSeparator" w:id="0">
    <w:p w:rsidR="00AB6876" w:rsidRDefault="00AB6876" w:rsidP="00A8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318242"/>
      <w:docPartObj>
        <w:docPartGallery w:val="Page Numbers (Bottom of Page)"/>
        <w:docPartUnique/>
      </w:docPartObj>
    </w:sdtPr>
    <w:sdtEndPr/>
    <w:sdtContent>
      <w:p w:rsidR="00AB6876" w:rsidRDefault="00AB6876">
        <w:pPr>
          <w:pStyle w:val="Pieddepage"/>
          <w:jc w:val="center"/>
        </w:pPr>
        <w:r>
          <w:fldChar w:fldCharType="begin"/>
        </w:r>
        <w:r>
          <w:instrText>PAGE   \* MERGEFORMAT</w:instrText>
        </w:r>
        <w:r>
          <w:fldChar w:fldCharType="separate"/>
        </w:r>
        <w:r w:rsidR="00710CC2">
          <w:rPr>
            <w:noProof/>
          </w:rPr>
          <w:t>2</w:t>
        </w:r>
        <w:r>
          <w:fldChar w:fldCharType="end"/>
        </w:r>
      </w:p>
    </w:sdtContent>
  </w:sdt>
  <w:p w:rsidR="00AB6876" w:rsidRDefault="00AB6876" w:rsidP="00CD0DDE">
    <w:pPr>
      <w:pStyle w:val="Pieddepage"/>
      <w:tabs>
        <w:tab w:val="clear" w:pos="4536"/>
        <w:tab w:val="clear" w:pos="9072"/>
        <w:tab w:val="left" w:pos="14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76" w:rsidRDefault="00AB6876" w:rsidP="00A8589F">
      <w:pPr>
        <w:spacing w:after="0" w:line="240" w:lineRule="auto"/>
      </w:pPr>
      <w:r>
        <w:separator/>
      </w:r>
    </w:p>
  </w:footnote>
  <w:footnote w:type="continuationSeparator" w:id="0">
    <w:p w:rsidR="00AB6876" w:rsidRDefault="00AB6876" w:rsidP="00A8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76" w:rsidRDefault="00AB6876" w:rsidP="00E34983">
    <w:pPr>
      <w:pBdr>
        <w:bottom w:val="thickThinSmallGap" w:sz="24" w:space="1" w:color="622423" w:themeColor="accent2" w:themeShade="7F"/>
      </w:pBdr>
      <w:tabs>
        <w:tab w:val="center" w:pos="4536"/>
        <w:tab w:val="right" w:pos="9072"/>
      </w:tabs>
      <w:spacing w:after="0" w:line="240" w:lineRule="auto"/>
      <w:jc w:val="center"/>
      <w:rPr>
        <w:rFonts w:cs="Calibri"/>
        <w:color w:val="808080"/>
        <w:sz w:val="16"/>
        <w:lang w:eastAsia="fr-FR"/>
      </w:rPr>
    </w:pPr>
    <w:r>
      <w:rPr>
        <w:noProof/>
        <w:lang w:eastAsia="fr-FR"/>
      </w:rPr>
      <w:drawing>
        <wp:anchor distT="0" distB="0" distL="114300" distR="114300" simplePos="0" relativeHeight="251659264" behindDoc="0" locked="0" layoutInCell="1" allowOverlap="1" wp14:anchorId="43F07943" wp14:editId="7B68C745">
          <wp:simplePos x="0" y="0"/>
          <wp:positionH relativeFrom="margin">
            <wp:posOffset>-552450</wp:posOffset>
          </wp:positionH>
          <wp:positionV relativeFrom="paragraph">
            <wp:posOffset>-228600</wp:posOffset>
          </wp:positionV>
          <wp:extent cx="895350" cy="603885"/>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79_Logo label 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603885"/>
                  </a:xfrm>
                  <a:prstGeom prst="rect">
                    <a:avLst/>
                  </a:prstGeom>
                </pic:spPr>
              </pic:pic>
            </a:graphicData>
          </a:graphic>
        </wp:anchor>
      </w:drawing>
    </w:r>
    <w:sdt>
      <w:sdtPr>
        <w:rPr>
          <w:rFonts w:cs="Calibri"/>
          <w:color w:val="808080"/>
          <w:sz w:val="16"/>
          <w:lang w:eastAsia="fr-FR"/>
        </w:rPr>
        <w:alias w:val="Titre"/>
        <w:id w:val="77738743"/>
        <w:placeholder>
          <w:docPart w:val="B9A3B27C751C4A3388C8B4D411052BA6"/>
        </w:placeholder>
        <w:dataBinding w:prefixMappings="xmlns:ns0='http://schemas.openxmlformats.org/package/2006/metadata/core-properties' xmlns:ns1='http://purl.org/dc/elements/1.1/'" w:xpath="/ns0:coreProperties[1]/ns1:title[1]" w:storeItemID="{6C3C8BC8-F283-45AE-878A-BAB7291924A1}"/>
        <w:text/>
      </w:sdtPr>
      <w:sdtEndPr/>
      <w:sdtContent>
        <w:r w:rsidR="00301672">
          <w:rPr>
            <w:rFonts w:cs="Calibri"/>
            <w:color w:val="808080"/>
            <w:sz w:val="16"/>
            <w:lang w:eastAsia="fr-FR"/>
          </w:rPr>
          <w:t>Novembre 2023 - Mise en place de la Prime Pouvoir d’Achat</w:t>
        </w:r>
      </w:sdtContent>
    </w:sdt>
  </w:p>
  <w:p w:rsidR="00AB6876" w:rsidRPr="00CE6C3C" w:rsidRDefault="00AB6876" w:rsidP="00E34983">
    <w:pPr>
      <w:pStyle w:val="En-tte"/>
      <w:pBdr>
        <w:bottom w:val="thickThinSmallGap" w:sz="24" w:space="1" w:color="622423" w:themeColor="accent2" w:themeShade="7F"/>
      </w:pBdr>
      <w:jc w:val="center"/>
      <w:rPr>
        <w:rFonts w:cs="Calibri"/>
        <w:i/>
        <w:color w:val="808080"/>
        <w:sz w:val="14"/>
        <w:lang w:eastAsia="fr-FR"/>
      </w:rPr>
    </w:pPr>
    <w:r w:rsidRPr="00CE6C3C">
      <w:rPr>
        <w:rFonts w:cs="Calibri"/>
        <w:i/>
        <w:color w:val="808080"/>
        <w:sz w:val="14"/>
        <w:lang w:eastAsia="fr-FR"/>
      </w:rPr>
      <w:t>Tél : 05 49 06 31 44 (Secteur Sud : Territoires Mellois en Poitou et Niortais)</w:t>
    </w:r>
  </w:p>
  <w:p w:rsidR="00AB6876" w:rsidRPr="00CE6C3C" w:rsidRDefault="00AB6876" w:rsidP="00E34983">
    <w:pPr>
      <w:pStyle w:val="En-tte"/>
      <w:pBdr>
        <w:bottom w:val="thickThinSmallGap" w:sz="24" w:space="1" w:color="622423" w:themeColor="accent2" w:themeShade="7F"/>
      </w:pBdr>
      <w:jc w:val="center"/>
      <w:rPr>
        <w:rFonts w:cs="Calibri"/>
        <w:i/>
        <w:color w:val="808080"/>
        <w:sz w:val="14"/>
        <w:lang w:eastAsia="fr-FR"/>
      </w:rPr>
    </w:pPr>
    <w:r w:rsidRPr="00CE6C3C">
      <w:rPr>
        <w:rFonts w:cs="Calibri"/>
        <w:i/>
        <w:color w:val="808080"/>
        <w:sz w:val="14"/>
        <w:lang w:eastAsia="fr-FR"/>
      </w:rPr>
      <w:t>05 49 06 31 45 (Secteur Centre : Territoires Parthenay-Gâtine, Val de Gâtine et Haut val de Sèvre)</w:t>
    </w:r>
  </w:p>
  <w:p w:rsidR="00AB6876" w:rsidRDefault="00AB6876" w:rsidP="00E34983">
    <w:pPr>
      <w:pStyle w:val="En-tte"/>
      <w:pBdr>
        <w:bottom w:val="thickThinSmallGap" w:sz="24" w:space="1" w:color="622423" w:themeColor="accent2" w:themeShade="7F"/>
      </w:pBdr>
      <w:jc w:val="center"/>
      <w:rPr>
        <w:rFonts w:cs="Calibri"/>
        <w:i/>
        <w:color w:val="808080"/>
        <w:sz w:val="14"/>
        <w:lang w:eastAsia="fr-FR"/>
      </w:rPr>
    </w:pPr>
    <w:r w:rsidRPr="00CE6C3C">
      <w:rPr>
        <w:rFonts w:cs="Calibri"/>
        <w:i/>
        <w:color w:val="808080"/>
        <w:sz w:val="14"/>
        <w:lang w:eastAsia="fr-FR"/>
      </w:rPr>
      <w:t>05 49 06 31 46 (Secteur Nord : Territoires Bocage Bressuirais, Thouarsais, Airvaudais Val du Thouet</w:t>
    </w:r>
    <w:r>
      <w:rPr>
        <w:rFonts w:cs="Calibri"/>
        <w:i/>
        <w:color w:val="808080"/>
        <w:sz w:val="14"/>
        <w:lang w:eastAsia="fr-F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8.25pt;height:90.75pt" o:bullet="t">
        <v:imagedata r:id="rId1" o:title="Livre"/>
      </v:shape>
    </w:pict>
  </w:numPicBullet>
  <w:abstractNum w:abstractNumId="0" w15:restartNumberingAfterBreak="0">
    <w:nsid w:val="03B3288D"/>
    <w:multiLevelType w:val="hybridMultilevel"/>
    <w:tmpl w:val="B808A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350C1"/>
    <w:multiLevelType w:val="hybridMultilevel"/>
    <w:tmpl w:val="7F2E64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91781"/>
    <w:multiLevelType w:val="hybridMultilevel"/>
    <w:tmpl w:val="1794D6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A24B1B"/>
    <w:multiLevelType w:val="hybridMultilevel"/>
    <w:tmpl w:val="39E6B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B3BCF"/>
    <w:multiLevelType w:val="hybridMultilevel"/>
    <w:tmpl w:val="F2DC6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87145B"/>
    <w:multiLevelType w:val="hybridMultilevel"/>
    <w:tmpl w:val="3BEC41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A4182D"/>
    <w:multiLevelType w:val="hybridMultilevel"/>
    <w:tmpl w:val="249CC8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725C6"/>
    <w:multiLevelType w:val="hybridMultilevel"/>
    <w:tmpl w:val="39586488"/>
    <w:lvl w:ilvl="0" w:tplc="256CE9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503E48"/>
    <w:multiLevelType w:val="hybridMultilevel"/>
    <w:tmpl w:val="8DC68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444B0"/>
    <w:multiLevelType w:val="hybridMultilevel"/>
    <w:tmpl w:val="0BEE2760"/>
    <w:lvl w:ilvl="0" w:tplc="0B1A302A">
      <w:numFmt w:val="bullet"/>
      <w:lvlText w:val="-"/>
      <w:lvlJc w:val="left"/>
      <w:pPr>
        <w:ind w:left="720" w:hanging="360"/>
      </w:pPr>
      <w:rPr>
        <w:rFonts w:ascii="TrebuchetMS" w:eastAsiaTheme="minorHAnsi"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7667D1"/>
    <w:multiLevelType w:val="hybridMultilevel"/>
    <w:tmpl w:val="492815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F952B8"/>
    <w:multiLevelType w:val="multilevel"/>
    <w:tmpl w:val="3182BE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6E64828"/>
    <w:multiLevelType w:val="hybridMultilevel"/>
    <w:tmpl w:val="E4204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A500B8"/>
    <w:multiLevelType w:val="hybridMultilevel"/>
    <w:tmpl w:val="9814ABF6"/>
    <w:lvl w:ilvl="0" w:tplc="69E62C8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9259CD"/>
    <w:multiLevelType w:val="hybridMultilevel"/>
    <w:tmpl w:val="C49402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54536C"/>
    <w:multiLevelType w:val="hybridMultilevel"/>
    <w:tmpl w:val="2D72F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E14F4F"/>
    <w:multiLevelType w:val="hybridMultilevel"/>
    <w:tmpl w:val="AD8C5C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9514B6"/>
    <w:multiLevelType w:val="hybridMultilevel"/>
    <w:tmpl w:val="7DC426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E9140A"/>
    <w:multiLevelType w:val="hybridMultilevel"/>
    <w:tmpl w:val="6E66D6D4"/>
    <w:lvl w:ilvl="0" w:tplc="3B800F7C">
      <w:start w:val="3"/>
      <w:numFmt w:val="bullet"/>
      <w:lvlText w:val="-"/>
      <w:lvlJc w:val="left"/>
      <w:pPr>
        <w:ind w:left="720" w:hanging="360"/>
      </w:pPr>
      <w:rPr>
        <w:rFonts w:ascii="Calibri" w:eastAsiaTheme="minorHAnsi" w:hAnsi="Calibri"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FE43B2"/>
    <w:multiLevelType w:val="hybridMultilevel"/>
    <w:tmpl w:val="A36A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272387"/>
    <w:multiLevelType w:val="hybridMultilevel"/>
    <w:tmpl w:val="78F016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670E3F"/>
    <w:multiLevelType w:val="hybridMultilevel"/>
    <w:tmpl w:val="88BAE2CE"/>
    <w:lvl w:ilvl="0" w:tplc="69E62C86">
      <w:start w:val="1"/>
      <w:numFmt w:val="bullet"/>
      <w:lvlText w:val=""/>
      <w:lvlPicBulletId w:val="0"/>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AD3F99"/>
    <w:multiLevelType w:val="hybridMultilevel"/>
    <w:tmpl w:val="3634C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F976B5"/>
    <w:multiLevelType w:val="hybridMultilevel"/>
    <w:tmpl w:val="A24476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DC598C"/>
    <w:multiLevelType w:val="hybridMultilevel"/>
    <w:tmpl w:val="F14A5480"/>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FC499A"/>
    <w:multiLevelType w:val="hybridMultilevel"/>
    <w:tmpl w:val="9F3C71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
  </w:num>
  <w:num w:numId="4">
    <w:abstractNumId w:val="15"/>
  </w:num>
  <w:num w:numId="5">
    <w:abstractNumId w:val="23"/>
  </w:num>
  <w:num w:numId="6">
    <w:abstractNumId w:val="9"/>
  </w:num>
  <w:num w:numId="7">
    <w:abstractNumId w:val="21"/>
  </w:num>
  <w:num w:numId="8">
    <w:abstractNumId w:val="13"/>
  </w:num>
  <w:num w:numId="9">
    <w:abstractNumId w:val="16"/>
  </w:num>
  <w:num w:numId="10">
    <w:abstractNumId w:val="0"/>
  </w:num>
  <w:num w:numId="11">
    <w:abstractNumId w:val="4"/>
  </w:num>
  <w:num w:numId="12">
    <w:abstractNumId w:val="6"/>
  </w:num>
  <w:num w:numId="13">
    <w:abstractNumId w:val="10"/>
  </w:num>
  <w:num w:numId="14">
    <w:abstractNumId w:val="12"/>
  </w:num>
  <w:num w:numId="15">
    <w:abstractNumId w:val="1"/>
  </w:num>
  <w:num w:numId="16">
    <w:abstractNumId w:val="18"/>
  </w:num>
  <w:num w:numId="17">
    <w:abstractNumId w:val="14"/>
  </w:num>
  <w:num w:numId="18">
    <w:abstractNumId w:val="25"/>
  </w:num>
  <w:num w:numId="19">
    <w:abstractNumId w:val="24"/>
  </w:num>
  <w:num w:numId="20">
    <w:abstractNumId w:val="2"/>
  </w:num>
  <w:num w:numId="21">
    <w:abstractNumId w:val="22"/>
  </w:num>
  <w:num w:numId="22">
    <w:abstractNumId w:val="3"/>
  </w:num>
  <w:num w:numId="23">
    <w:abstractNumId w:val="19"/>
  </w:num>
  <w:num w:numId="24">
    <w:abstractNumId w:val="8"/>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5C"/>
    <w:rsid w:val="00023C8C"/>
    <w:rsid w:val="000473F5"/>
    <w:rsid w:val="00057CB6"/>
    <w:rsid w:val="00062C9B"/>
    <w:rsid w:val="00081052"/>
    <w:rsid w:val="000B40BE"/>
    <w:rsid w:val="000C1F9C"/>
    <w:rsid w:val="000E73E5"/>
    <w:rsid w:val="000F0E2D"/>
    <w:rsid w:val="000F7DE0"/>
    <w:rsid w:val="001059B5"/>
    <w:rsid w:val="001332D0"/>
    <w:rsid w:val="00152D53"/>
    <w:rsid w:val="001722C9"/>
    <w:rsid w:val="001802EB"/>
    <w:rsid w:val="001A5010"/>
    <w:rsid w:val="001A6081"/>
    <w:rsid w:val="001C33EC"/>
    <w:rsid w:val="001C4C23"/>
    <w:rsid w:val="001C7228"/>
    <w:rsid w:val="001D0172"/>
    <w:rsid w:val="001D04F7"/>
    <w:rsid w:val="001F7CB7"/>
    <w:rsid w:val="00200656"/>
    <w:rsid w:val="00200C6D"/>
    <w:rsid w:val="00207400"/>
    <w:rsid w:val="00225D81"/>
    <w:rsid w:val="00232384"/>
    <w:rsid w:val="0023318D"/>
    <w:rsid w:val="00235E23"/>
    <w:rsid w:val="00236447"/>
    <w:rsid w:val="00242125"/>
    <w:rsid w:val="00246202"/>
    <w:rsid w:val="00294906"/>
    <w:rsid w:val="00294EA1"/>
    <w:rsid w:val="002A518E"/>
    <w:rsid w:val="002B43DC"/>
    <w:rsid w:val="002D37EE"/>
    <w:rsid w:val="002D5F88"/>
    <w:rsid w:val="002D65FB"/>
    <w:rsid w:val="002E4D15"/>
    <w:rsid w:val="002E693C"/>
    <w:rsid w:val="002F0267"/>
    <w:rsid w:val="002F0401"/>
    <w:rsid w:val="002F678D"/>
    <w:rsid w:val="002F7F2E"/>
    <w:rsid w:val="00301672"/>
    <w:rsid w:val="00325758"/>
    <w:rsid w:val="0033315B"/>
    <w:rsid w:val="0034382C"/>
    <w:rsid w:val="003525B2"/>
    <w:rsid w:val="003537B8"/>
    <w:rsid w:val="00370B00"/>
    <w:rsid w:val="003821B9"/>
    <w:rsid w:val="003855CF"/>
    <w:rsid w:val="0039238D"/>
    <w:rsid w:val="003C66B3"/>
    <w:rsid w:val="003D1324"/>
    <w:rsid w:val="003D1C79"/>
    <w:rsid w:val="003F177E"/>
    <w:rsid w:val="003F1AF8"/>
    <w:rsid w:val="003F2531"/>
    <w:rsid w:val="003F4A53"/>
    <w:rsid w:val="0041601D"/>
    <w:rsid w:val="00426054"/>
    <w:rsid w:val="0044064C"/>
    <w:rsid w:val="004515D7"/>
    <w:rsid w:val="004657B5"/>
    <w:rsid w:val="00483685"/>
    <w:rsid w:val="00484F06"/>
    <w:rsid w:val="004919E8"/>
    <w:rsid w:val="00493A8D"/>
    <w:rsid w:val="004A15B9"/>
    <w:rsid w:val="004B2ABA"/>
    <w:rsid w:val="004B50AC"/>
    <w:rsid w:val="004E6B99"/>
    <w:rsid w:val="005024AD"/>
    <w:rsid w:val="00521012"/>
    <w:rsid w:val="00521FCF"/>
    <w:rsid w:val="00522147"/>
    <w:rsid w:val="0053458A"/>
    <w:rsid w:val="0056193E"/>
    <w:rsid w:val="00562DD3"/>
    <w:rsid w:val="00563788"/>
    <w:rsid w:val="00563BB9"/>
    <w:rsid w:val="00566625"/>
    <w:rsid w:val="00570BEE"/>
    <w:rsid w:val="00571CEB"/>
    <w:rsid w:val="005740E2"/>
    <w:rsid w:val="00574C48"/>
    <w:rsid w:val="005766D2"/>
    <w:rsid w:val="005852EF"/>
    <w:rsid w:val="00593825"/>
    <w:rsid w:val="005A1EEF"/>
    <w:rsid w:val="005B2677"/>
    <w:rsid w:val="005B428C"/>
    <w:rsid w:val="005C06BC"/>
    <w:rsid w:val="005E06CD"/>
    <w:rsid w:val="005F765E"/>
    <w:rsid w:val="00622326"/>
    <w:rsid w:val="00624FEE"/>
    <w:rsid w:val="00630FDC"/>
    <w:rsid w:val="0063579F"/>
    <w:rsid w:val="00645635"/>
    <w:rsid w:val="006477BB"/>
    <w:rsid w:val="006519B7"/>
    <w:rsid w:val="00655780"/>
    <w:rsid w:val="00663EA5"/>
    <w:rsid w:val="006752EA"/>
    <w:rsid w:val="00680E5D"/>
    <w:rsid w:val="00696DD0"/>
    <w:rsid w:val="006A1896"/>
    <w:rsid w:val="006B4A1D"/>
    <w:rsid w:val="006E1D41"/>
    <w:rsid w:val="006F0994"/>
    <w:rsid w:val="006F4C3F"/>
    <w:rsid w:val="006F56DB"/>
    <w:rsid w:val="00710CC2"/>
    <w:rsid w:val="00712D05"/>
    <w:rsid w:val="00750E7A"/>
    <w:rsid w:val="00787284"/>
    <w:rsid w:val="00790366"/>
    <w:rsid w:val="00792A84"/>
    <w:rsid w:val="007C1F19"/>
    <w:rsid w:val="007D136C"/>
    <w:rsid w:val="007D339A"/>
    <w:rsid w:val="007E4A73"/>
    <w:rsid w:val="007F3438"/>
    <w:rsid w:val="007F36DD"/>
    <w:rsid w:val="00804154"/>
    <w:rsid w:val="00804487"/>
    <w:rsid w:val="00823471"/>
    <w:rsid w:val="00863B1A"/>
    <w:rsid w:val="00864B92"/>
    <w:rsid w:val="00866D7A"/>
    <w:rsid w:val="00872723"/>
    <w:rsid w:val="0088247A"/>
    <w:rsid w:val="0088279B"/>
    <w:rsid w:val="008955F2"/>
    <w:rsid w:val="008A3FC4"/>
    <w:rsid w:val="008C7791"/>
    <w:rsid w:val="008D35BD"/>
    <w:rsid w:val="008E0EB8"/>
    <w:rsid w:val="00902090"/>
    <w:rsid w:val="00922880"/>
    <w:rsid w:val="009565E0"/>
    <w:rsid w:val="009628A1"/>
    <w:rsid w:val="00976E47"/>
    <w:rsid w:val="00982D69"/>
    <w:rsid w:val="00987B35"/>
    <w:rsid w:val="00990267"/>
    <w:rsid w:val="009958E4"/>
    <w:rsid w:val="009C4E7E"/>
    <w:rsid w:val="009C6092"/>
    <w:rsid w:val="009D6984"/>
    <w:rsid w:val="009E682F"/>
    <w:rsid w:val="009E7883"/>
    <w:rsid w:val="009F0C24"/>
    <w:rsid w:val="009F0E35"/>
    <w:rsid w:val="009F402D"/>
    <w:rsid w:val="009F6FEA"/>
    <w:rsid w:val="00A06224"/>
    <w:rsid w:val="00A27884"/>
    <w:rsid w:val="00A3584B"/>
    <w:rsid w:val="00A64C6C"/>
    <w:rsid w:val="00A70495"/>
    <w:rsid w:val="00A7644F"/>
    <w:rsid w:val="00A8589F"/>
    <w:rsid w:val="00A86424"/>
    <w:rsid w:val="00AA2EDF"/>
    <w:rsid w:val="00AA435C"/>
    <w:rsid w:val="00AB6876"/>
    <w:rsid w:val="00AC4610"/>
    <w:rsid w:val="00AD08B3"/>
    <w:rsid w:val="00AD3CFE"/>
    <w:rsid w:val="00B12BBD"/>
    <w:rsid w:val="00B144C2"/>
    <w:rsid w:val="00B33821"/>
    <w:rsid w:val="00B341B9"/>
    <w:rsid w:val="00B3690D"/>
    <w:rsid w:val="00B42342"/>
    <w:rsid w:val="00B4352C"/>
    <w:rsid w:val="00B445DD"/>
    <w:rsid w:val="00B45646"/>
    <w:rsid w:val="00B53EB2"/>
    <w:rsid w:val="00B65899"/>
    <w:rsid w:val="00B910A7"/>
    <w:rsid w:val="00BB3179"/>
    <w:rsid w:val="00BC5760"/>
    <w:rsid w:val="00C073B9"/>
    <w:rsid w:val="00C073D8"/>
    <w:rsid w:val="00C10BA3"/>
    <w:rsid w:val="00C3751B"/>
    <w:rsid w:val="00C40C98"/>
    <w:rsid w:val="00C46C42"/>
    <w:rsid w:val="00C5691B"/>
    <w:rsid w:val="00C6471A"/>
    <w:rsid w:val="00C82A56"/>
    <w:rsid w:val="00C94F09"/>
    <w:rsid w:val="00CA377E"/>
    <w:rsid w:val="00CA4B6C"/>
    <w:rsid w:val="00CD0DDE"/>
    <w:rsid w:val="00CE176B"/>
    <w:rsid w:val="00CF2E79"/>
    <w:rsid w:val="00D02A36"/>
    <w:rsid w:val="00D345C7"/>
    <w:rsid w:val="00D56808"/>
    <w:rsid w:val="00D8449A"/>
    <w:rsid w:val="00D859FF"/>
    <w:rsid w:val="00D86E5C"/>
    <w:rsid w:val="00DA7EB6"/>
    <w:rsid w:val="00DD11CB"/>
    <w:rsid w:val="00DD1C80"/>
    <w:rsid w:val="00DD587D"/>
    <w:rsid w:val="00DF69B0"/>
    <w:rsid w:val="00E04208"/>
    <w:rsid w:val="00E056DB"/>
    <w:rsid w:val="00E34983"/>
    <w:rsid w:val="00E41AD6"/>
    <w:rsid w:val="00E540FB"/>
    <w:rsid w:val="00E60431"/>
    <w:rsid w:val="00EB3393"/>
    <w:rsid w:val="00EE72A1"/>
    <w:rsid w:val="00F10F17"/>
    <w:rsid w:val="00F23DF2"/>
    <w:rsid w:val="00F2446F"/>
    <w:rsid w:val="00F262B1"/>
    <w:rsid w:val="00F53987"/>
    <w:rsid w:val="00F60326"/>
    <w:rsid w:val="00F76A5A"/>
    <w:rsid w:val="00F97D86"/>
    <w:rsid w:val="00FB2F11"/>
    <w:rsid w:val="00FC2C59"/>
    <w:rsid w:val="00FC53F0"/>
    <w:rsid w:val="00FC7852"/>
    <w:rsid w:val="00FD13AC"/>
    <w:rsid w:val="00FD664D"/>
    <w:rsid w:val="00FE4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38BF1"/>
  <w15:docId w15:val="{1D6FC5E1-4886-4C7B-8485-9BDFF165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09"/>
  </w:style>
  <w:style w:type="paragraph" w:styleId="Titre1">
    <w:name w:val="heading 1"/>
    <w:basedOn w:val="Normal"/>
    <w:next w:val="Normal"/>
    <w:link w:val="Titre1Car"/>
    <w:uiPriority w:val="9"/>
    <w:qFormat/>
    <w:rsid w:val="006F4C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D86E5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5024AD"/>
    <w:pPr>
      <w:ind w:left="720"/>
      <w:contextualSpacing/>
    </w:pPr>
  </w:style>
  <w:style w:type="table" w:styleId="Grilledutableau">
    <w:name w:val="Table Grid"/>
    <w:basedOn w:val="TableauNormal"/>
    <w:uiPriority w:val="59"/>
    <w:rsid w:val="0042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435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52C"/>
    <w:rPr>
      <w:rFonts w:ascii="Tahoma" w:hAnsi="Tahoma" w:cs="Tahoma"/>
      <w:sz w:val="16"/>
      <w:szCs w:val="16"/>
    </w:rPr>
  </w:style>
  <w:style w:type="paragraph" w:styleId="En-tte">
    <w:name w:val="header"/>
    <w:basedOn w:val="Normal"/>
    <w:link w:val="En-tteCar"/>
    <w:uiPriority w:val="99"/>
    <w:unhideWhenUsed/>
    <w:rsid w:val="00A8589F"/>
    <w:pPr>
      <w:tabs>
        <w:tab w:val="center" w:pos="4536"/>
        <w:tab w:val="right" w:pos="9072"/>
      </w:tabs>
      <w:spacing w:after="0" w:line="240" w:lineRule="auto"/>
    </w:pPr>
  </w:style>
  <w:style w:type="character" w:customStyle="1" w:styleId="En-tteCar">
    <w:name w:val="En-tête Car"/>
    <w:basedOn w:val="Policepardfaut"/>
    <w:link w:val="En-tte"/>
    <w:uiPriority w:val="99"/>
    <w:rsid w:val="00A8589F"/>
  </w:style>
  <w:style w:type="paragraph" w:styleId="Pieddepage">
    <w:name w:val="footer"/>
    <w:basedOn w:val="Normal"/>
    <w:link w:val="PieddepageCar"/>
    <w:uiPriority w:val="99"/>
    <w:unhideWhenUsed/>
    <w:rsid w:val="00A858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89F"/>
  </w:style>
  <w:style w:type="character" w:customStyle="1" w:styleId="DefaultCar">
    <w:name w:val="Default Car"/>
    <w:link w:val="Default"/>
    <w:locked/>
    <w:rsid w:val="00DF69B0"/>
    <w:rPr>
      <w:rFonts w:ascii="Arial" w:hAnsi="Arial" w:cs="Arial"/>
      <w:color w:val="000000"/>
      <w:sz w:val="24"/>
      <w:szCs w:val="24"/>
    </w:rPr>
  </w:style>
  <w:style w:type="character" w:customStyle="1" w:styleId="Titre1Car">
    <w:name w:val="Titre 1 Car"/>
    <w:basedOn w:val="Policepardfaut"/>
    <w:link w:val="Titre1"/>
    <w:uiPriority w:val="9"/>
    <w:rsid w:val="006F4C3F"/>
    <w:rPr>
      <w:rFonts w:asciiTheme="majorHAnsi" w:eastAsiaTheme="majorEastAsia" w:hAnsiTheme="majorHAnsi" w:cstheme="majorBidi"/>
      <w:color w:val="365F91" w:themeColor="accent1" w:themeShade="BF"/>
      <w:sz w:val="32"/>
      <w:szCs w:val="32"/>
    </w:rPr>
  </w:style>
  <w:style w:type="paragraph" w:customStyle="1" w:styleId="articlecontenu">
    <w:name w:val="article : contenu"/>
    <w:basedOn w:val="Normal"/>
    <w:rsid w:val="003855CF"/>
    <w:pPr>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3855CF"/>
    <w:pPr>
      <w:autoSpaceDE w:val="0"/>
      <w:autoSpaceDN w:val="0"/>
      <w:spacing w:before="240" w:after="240" w:line="240" w:lineRule="auto"/>
      <w:jc w:val="both"/>
    </w:pPr>
    <w:rPr>
      <w:rFonts w:ascii="Arial" w:eastAsia="Times New Roman"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347">
      <w:bodyDiv w:val="1"/>
      <w:marLeft w:val="0"/>
      <w:marRight w:val="0"/>
      <w:marTop w:val="0"/>
      <w:marBottom w:val="0"/>
      <w:divBdr>
        <w:top w:val="none" w:sz="0" w:space="0" w:color="auto"/>
        <w:left w:val="none" w:sz="0" w:space="0" w:color="auto"/>
        <w:bottom w:val="none" w:sz="0" w:space="0" w:color="auto"/>
        <w:right w:val="none" w:sz="0" w:space="0" w:color="auto"/>
      </w:divBdr>
    </w:div>
    <w:div w:id="43023193">
      <w:bodyDiv w:val="1"/>
      <w:marLeft w:val="0"/>
      <w:marRight w:val="0"/>
      <w:marTop w:val="0"/>
      <w:marBottom w:val="0"/>
      <w:divBdr>
        <w:top w:val="none" w:sz="0" w:space="0" w:color="auto"/>
        <w:left w:val="none" w:sz="0" w:space="0" w:color="auto"/>
        <w:bottom w:val="none" w:sz="0" w:space="0" w:color="auto"/>
        <w:right w:val="none" w:sz="0" w:space="0" w:color="auto"/>
      </w:divBdr>
    </w:div>
    <w:div w:id="50157788">
      <w:bodyDiv w:val="1"/>
      <w:marLeft w:val="0"/>
      <w:marRight w:val="0"/>
      <w:marTop w:val="0"/>
      <w:marBottom w:val="0"/>
      <w:divBdr>
        <w:top w:val="none" w:sz="0" w:space="0" w:color="auto"/>
        <w:left w:val="none" w:sz="0" w:space="0" w:color="auto"/>
        <w:bottom w:val="none" w:sz="0" w:space="0" w:color="auto"/>
        <w:right w:val="none" w:sz="0" w:space="0" w:color="auto"/>
      </w:divBdr>
    </w:div>
    <w:div w:id="148637655">
      <w:bodyDiv w:val="1"/>
      <w:marLeft w:val="0"/>
      <w:marRight w:val="0"/>
      <w:marTop w:val="0"/>
      <w:marBottom w:val="0"/>
      <w:divBdr>
        <w:top w:val="none" w:sz="0" w:space="0" w:color="auto"/>
        <w:left w:val="none" w:sz="0" w:space="0" w:color="auto"/>
        <w:bottom w:val="none" w:sz="0" w:space="0" w:color="auto"/>
        <w:right w:val="none" w:sz="0" w:space="0" w:color="auto"/>
      </w:divBdr>
    </w:div>
    <w:div w:id="205797702">
      <w:bodyDiv w:val="1"/>
      <w:marLeft w:val="0"/>
      <w:marRight w:val="0"/>
      <w:marTop w:val="0"/>
      <w:marBottom w:val="0"/>
      <w:divBdr>
        <w:top w:val="none" w:sz="0" w:space="0" w:color="auto"/>
        <w:left w:val="none" w:sz="0" w:space="0" w:color="auto"/>
        <w:bottom w:val="none" w:sz="0" w:space="0" w:color="auto"/>
        <w:right w:val="none" w:sz="0" w:space="0" w:color="auto"/>
      </w:divBdr>
    </w:div>
    <w:div w:id="307326590">
      <w:bodyDiv w:val="1"/>
      <w:marLeft w:val="0"/>
      <w:marRight w:val="0"/>
      <w:marTop w:val="0"/>
      <w:marBottom w:val="0"/>
      <w:divBdr>
        <w:top w:val="none" w:sz="0" w:space="0" w:color="auto"/>
        <w:left w:val="none" w:sz="0" w:space="0" w:color="auto"/>
        <w:bottom w:val="none" w:sz="0" w:space="0" w:color="auto"/>
        <w:right w:val="none" w:sz="0" w:space="0" w:color="auto"/>
      </w:divBdr>
    </w:div>
    <w:div w:id="406657650">
      <w:bodyDiv w:val="1"/>
      <w:marLeft w:val="0"/>
      <w:marRight w:val="0"/>
      <w:marTop w:val="0"/>
      <w:marBottom w:val="0"/>
      <w:divBdr>
        <w:top w:val="none" w:sz="0" w:space="0" w:color="auto"/>
        <w:left w:val="none" w:sz="0" w:space="0" w:color="auto"/>
        <w:bottom w:val="none" w:sz="0" w:space="0" w:color="auto"/>
        <w:right w:val="none" w:sz="0" w:space="0" w:color="auto"/>
      </w:divBdr>
    </w:div>
    <w:div w:id="598028129">
      <w:bodyDiv w:val="1"/>
      <w:marLeft w:val="0"/>
      <w:marRight w:val="0"/>
      <w:marTop w:val="0"/>
      <w:marBottom w:val="0"/>
      <w:divBdr>
        <w:top w:val="none" w:sz="0" w:space="0" w:color="auto"/>
        <w:left w:val="none" w:sz="0" w:space="0" w:color="auto"/>
        <w:bottom w:val="none" w:sz="0" w:space="0" w:color="auto"/>
        <w:right w:val="none" w:sz="0" w:space="0" w:color="auto"/>
      </w:divBdr>
    </w:div>
    <w:div w:id="641230891">
      <w:bodyDiv w:val="1"/>
      <w:marLeft w:val="0"/>
      <w:marRight w:val="0"/>
      <w:marTop w:val="0"/>
      <w:marBottom w:val="0"/>
      <w:divBdr>
        <w:top w:val="none" w:sz="0" w:space="0" w:color="auto"/>
        <w:left w:val="none" w:sz="0" w:space="0" w:color="auto"/>
        <w:bottom w:val="none" w:sz="0" w:space="0" w:color="auto"/>
        <w:right w:val="none" w:sz="0" w:space="0" w:color="auto"/>
      </w:divBdr>
    </w:div>
    <w:div w:id="774516164">
      <w:bodyDiv w:val="1"/>
      <w:marLeft w:val="0"/>
      <w:marRight w:val="0"/>
      <w:marTop w:val="0"/>
      <w:marBottom w:val="0"/>
      <w:divBdr>
        <w:top w:val="none" w:sz="0" w:space="0" w:color="auto"/>
        <w:left w:val="none" w:sz="0" w:space="0" w:color="auto"/>
        <w:bottom w:val="none" w:sz="0" w:space="0" w:color="auto"/>
        <w:right w:val="none" w:sz="0" w:space="0" w:color="auto"/>
      </w:divBdr>
    </w:div>
    <w:div w:id="831607412">
      <w:bodyDiv w:val="1"/>
      <w:marLeft w:val="0"/>
      <w:marRight w:val="0"/>
      <w:marTop w:val="0"/>
      <w:marBottom w:val="0"/>
      <w:divBdr>
        <w:top w:val="none" w:sz="0" w:space="0" w:color="auto"/>
        <w:left w:val="none" w:sz="0" w:space="0" w:color="auto"/>
        <w:bottom w:val="none" w:sz="0" w:space="0" w:color="auto"/>
        <w:right w:val="none" w:sz="0" w:space="0" w:color="auto"/>
      </w:divBdr>
    </w:div>
    <w:div w:id="891424565">
      <w:bodyDiv w:val="1"/>
      <w:marLeft w:val="0"/>
      <w:marRight w:val="0"/>
      <w:marTop w:val="0"/>
      <w:marBottom w:val="0"/>
      <w:divBdr>
        <w:top w:val="none" w:sz="0" w:space="0" w:color="auto"/>
        <w:left w:val="none" w:sz="0" w:space="0" w:color="auto"/>
        <w:bottom w:val="none" w:sz="0" w:space="0" w:color="auto"/>
        <w:right w:val="none" w:sz="0" w:space="0" w:color="auto"/>
      </w:divBdr>
    </w:div>
    <w:div w:id="991446178">
      <w:bodyDiv w:val="1"/>
      <w:marLeft w:val="0"/>
      <w:marRight w:val="0"/>
      <w:marTop w:val="0"/>
      <w:marBottom w:val="0"/>
      <w:divBdr>
        <w:top w:val="none" w:sz="0" w:space="0" w:color="auto"/>
        <w:left w:val="none" w:sz="0" w:space="0" w:color="auto"/>
        <w:bottom w:val="none" w:sz="0" w:space="0" w:color="auto"/>
        <w:right w:val="none" w:sz="0" w:space="0" w:color="auto"/>
      </w:divBdr>
    </w:div>
    <w:div w:id="1026561181">
      <w:bodyDiv w:val="1"/>
      <w:marLeft w:val="0"/>
      <w:marRight w:val="0"/>
      <w:marTop w:val="0"/>
      <w:marBottom w:val="0"/>
      <w:divBdr>
        <w:top w:val="none" w:sz="0" w:space="0" w:color="auto"/>
        <w:left w:val="none" w:sz="0" w:space="0" w:color="auto"/>
        <w:bottom w:val="none" w:sz="0" w:space="0" w:color="auto"/>
        <w:right w:val="none" w:sz="0" w:space="0" w:color="auto"/>
      </w:divBdr>
    </w:div>
    <w:div w:id="1133333131">
      <w:bodyDiv w:val="1"/>
      <w:marLeft w:val="0"/>
      <w:marRight w:val="0"/>
      <w:marTop w:val="0"/>
      <w:marBottom w:val="0"/>
      <w:divBdr>
        <w:top w:val="none" w:sz="0" w:space="0" w:color="auto"/>
        <w:left w:val="none" w:sz="0" w:space="0" w:color="auto"/>
        <w:bottom w:val="none" w:sz="0" w:space="0" w:color="auto"/>
        <w:right w:val="none" w:sz="0" w:space="0" w:color="auto"/>
      </w:divBdr>
    </w:div>
    <w:div w:id="1169783336">
      <w:bodyDiv w:val="1"/>
      <w:marLeft w:val="0"/>
      <w:marRight w:val="0"/>
      <w:marTop w:val="0"/>
      <w:marBottom w:val="0"/>
      <w:divBdr>
        <w:top w:val="none" w:sz="0" w:space="0" w:color="auto"/>
        <w:left w:val="none" w:sz="0" w:space="0" w:color="auto"/>
        <w:bottom w:val="none" w:sz="0" w:space="0" w:color="auto"/>
        <w:right w:val="none" w:sz="0" w:space="0" w:color="auto"/>
      </w:divBdr>
    </w:div>
    <w:div w:id="1191842028">
      <w:bodyDiv w:val="1"/>
      <w:marLeft w:val="0"/>
      <w:marRight w:val="0"/>
      <w:marTop w:val="0"/>
      <w:marBottom w:val="0"/>
      <w:divBdr>
        <w:top w:val="none" w:sz="0" w:space="0" w:color="auto"/>
        <w:left w:val="none" w:sz="0" w:space="0" w:color="auto"/>
        <w:bottom w:val="none" w:sz="0" w:space="0" w:color="auto"/>
        <w:right w:val="none" w:sz="0" w:space="0" w:color="auto"/>
      </w:divBdr>
    </w:div>
    <w:div w:id="1208647153">
      <w:bodyDiv w:val="1"/>
      <w:marLeft w:val="0"/>
      <w:marRight w:val="0"/>
      <w:marTop w:val="0"/>
      <w:marBottom w:val="0"/>
      <w:divBdr>
        <w:top w:val="none" w:sz="0" w:space="0" w:color="auto"/>
        <w:left w:val="none" w:sz="0" w:space="0" w:color="auto"/>
        <w:bottom w:val="none" w:sz="0" w:space="0" w:color="auto"/>
        <w:right w:val="none" w:sz="0" w:space="0" w:color="auto"/>
      </w:divBdr>
    </w:div>
    <w:div w:id="1227257054">
      <w:bodyDiv w:val="1"/>
      <w:marLeft w:val="0"/>
      <w:marRight w:val="0"/>
      <w:marTop w:val="0"/>
      <w:marBottom w:val="0"/>
      <w:divBdr>
        <w:top w:val="none" w:sz="0" w:space="0" w:color="auto"/>
        <w:left w:val="none" w:sz="0" w:space="0" w:color="auto"/>
        <w:bottom w:val="none" w:sz="0" w:space="0" w:color="auto"/>
        <w:right w:val="none" w:sz="0" w:space="0" w:color="auto"/>
      </w:divBdr>
    </w:div>
    <w:div w:id="1233396573">
      <w:bodyDiv w:val="1"/>
      <w:marLeft w:val="0"/>
      <w:marRight w:val="0"/>
      <w:marTop w:val="0"/>
      <w:marBottom w:val="0"/>
      <w:divBdr>
        <w:top w:val="none" w:sz="0" w:space="0" w:color="auto"/>
        <w:left w:val="none" w:sz="0" w:space="0" w:color="auto"/>
        <w:bottom w:val="none" w:sz="0" w:space="0" w:color="auto"/>
        <w:right w:val="none" w:sz="0" w:space="0" w:color="auto"/>
      </w:divBdr>
    </w:div>
    <w:div w:id="1297906378">
      <w:bodyDiv w:val="1"/>
      <w:marLeft w:val="0"/>
      <w:marRight w:val="0"/>
      <w:marTop w:val="0"/>
      <w:marBottom w:val="0"/>
      <w:divBdr>
        <w:top w:val="none" w:sz="0" w:space="0" w:color="auto"/>
        <w:left w:val="none" w:sz="0" w:space="0" w:color="auto"/>
        <w:bottom w:val="none" w:sz="0" w:space="0" w:color="auto"/>
        <w:right w:val="none" w:sz="0" w:space="0" w:color="auto"/>
      </w:divBdr>
    </w:div>
    <w:div w:id="1322001836">
      <w:bodyDiv w:val="1"/>
      <w:marLeft w:val="0"/>
      <w:marRight w:val="0"/>
      <w:marTop w:val="0"/>
      <w:marBottom w:val="0"/>
      <w:divBdr>
        <w:top w:val="none" w:sz="0" w:space="0" w:color="auto"/>
        <w:left w:val="none" w:sz="0" w:space="0" w:color="auto"/>
        <w:bottom w:val="none" w:sz="0" w:space="0" w:color="auto"/>
        <w:right w:val="none" w:sz="0" w:space="0" w:color="auto"/>
      </w:divBdr>
    </w:div>
    <w:div w:id="1326782091">
      <w:bodyDiv w:val="1"/>
      <w:marLeft w:val="0"/>
      <w:marRight w:val="0"/>
      <w:marTop w:val="0"/>
      <w:marBottom w:val="0"/>
      <w:divBdr>
        <w:top w:val="none" w:sz="0" w:space="0" w:color="auto"/>
        <w:left w:val="none" w:sz="0" w:space="0" w:color="auto"/>
        <w:bottom w:val="none" w:sz="0" w:space="0" w:color="auto"/>
        <w:right w:val="none" w:sz="0" w:space="0" w:color="auto"/>
      </w:divBdr>
    </w:div>
    <w:div w:id="1359743482">
      <w:bodyDiv w:val="1"/>
      <w:marLeft w:val="0"/>
      <w:marRight w:val="0"/>
      <w:marTop w:val="0"/>
      <w:marBottom w:val="0"/>
      <w:divBdr>
        <w:top w:val="none" w:sz="0" w:space="0" w:color="auto"/>
        <w:left w:val="none" w:sz="0" w:space="0" w:color="auto"/>
        <w:bottom w:val="none" w:sz="0" w:space="0" w:color="auto"/>
        <w:right w:val="none" w:sz="0" w:space="0" w:color="auto"/>
      </w:divBdr>
    </w:div>
    <w:div w:id="1372222409">
      <w:bodyDiv w:val="1"/>
      <w:marLeft w:val="0"/>
      <w:marRight w:val="0"/>
      <w:marTop w:val="0"/>
      <w:marBottom w:val="0"/>
      <w:divBdr>
        <w:top w:val="none" w:sz="0" w:space="0" w:color="auto"/>
        <w:left w:val="none" w:sz="0" w:space="0" w:color="auto"/>
        <w:bottom w:val="none" w:sz="0" w:space="0" w:color="auto"/>
        <w:right w:val="none" w:sz="0" w:space="0" w:color="auto"/>
      </w:divBdr>
    </w:div>
    <w:div w:id="1565988936">
      <w:bodyDiv w:val="1"/>
      <w:marLeft w:val="0"/>
      <w:marRight w:val="0"/>
      <w:marTop w:val="0"/>
      <w:marBottom w:val="0"/>
      <w:divBdr>
        <w:top w:val="none" w:sz="0" w:space="0" w:color="auto"/>
        <w:left w:val="none" w:sz="0" w:space="0" w:color="auto"/>
        <w:bottom w:val="none" w:sz="0" w:space="0" w:color="auto"/>
        <w:right w:val="none" w:sz="0" w:space="0" w:color="auto"/>
      </w:divBdr>
    </w:div>
    <w:div w:id="1592735709">
      <w:bodyDiv w:val="1"/>
      <w:marLeft w:val="0"/>
      <w:marRight w:val="0"/>
      <w:marTop w:val="0"/>
      <w:marBottom w:val="0"/>
      <w:divBdr>
        <w:top w:val="none" w:sz="0" w:space="0" w:color="auto"/>
        <w:left w:val="none" w:sz="0" w:space="0" w:color="auto"/>
        <w:bottom w:val="none" w:sz="0" w:space="0" w:color="auto"/>
        <w:right w:val="none" w:sz="0" w:space="0" w:color="auto"/>
      </w:divBdr>
    </w:div>
    <w:div w:id="1737236999">
      <w:bodyDiv w:val="1"/>
      <w:marLeft w:val="0"/>
      <w:marRight w:val="0"/>
      <w:marTop w:val="0"/>
      <w:marBottom w:val="0"/>
      <w:divBdr>
        <w:top w:val="none" w:sz="0" w:space="0" w:color="auto"/>
        <w:left w:val="none" w:sz="0" w:space="0" w:color="auto"/>
        <w:bottom w:val="none" w:sz="0" w:space="0" w:color="auto"/>
        <w:right w:val="none" w:sz="0" w:space="0" w:color="auto"/>
      </w:divBdr>
    </w:div>
    <w:div w:id="1794446408">
      <w:bodyDiv w:val="1"/>
      <w:marLeft w:val="0"/>
      <w:marRight w:val="0"/>
      <w:marTop w:val="0"/>
      <w:marBottom w:val="0"/>
      <w:divBdr>
        <w:top w:val="none" w:sz="0" w:space="0" w:color="auto"/>
        <w:left w:val="none" w:sz="0" w:space="0" w:color="auto"/>
        <w:bottom w:val="none" w:sz="0" w:space="0" w:color="auto"/>
        <w:right w:val="none" w:sz="0" w:space="0" w:color="auto"/>
      </w:divBdr>
    </w:div>
    <w:div w:id="1928153105">
      <w:bodyDiv w:val="1"/>
      <w:marLeft w:val="0"/>
      <w:marRight w:val="0"/>
      <w:marTop w:val="0"/>
      <w:marBottom w:val="0"/>
      <w:divBdr>
        <w:top w:val="none" w:sz="0" w:space="0" w:color="auto"/>
        <w:left w:val="none" w:sz="0" w:space="0" w:color="auto"/>
        <w:bottom w:val="none" w:sz="0" w:space="0" w:color="auto"/>
        <w:right w:val="none" w:sz="0" w:space="0" w:color="auto"/>
      </w:divBdr>
    </w:div>
    <w:div w:id="1977679978">
      <w:bodyDiv w:val="1"/>
      <w:marLeft w:val="0"/>
      <w:marRight w:val="0"/>
      <w:marTop w:val="0"/>
      <w:marBottom w:val="0"/>
      <w:divBdr>
        <w:top w:val="none" w:sz="0" w:space="0" w:color="auto"/>
        <w:left w:val="none" w:sz="0" w:space="0" w:color="auto"/>
        <w:bottom w:val="none" w:sz="0" w:space="0" w:color="auto"/>
        <w:right w:val="none" w:sz="0" w:space="0" w:color="auto"/>
      </w:divBdr>
    </w:div>
    <w:div w:id="2015574952">
      <w:bodyDiv w:val="1"/>
      <w:marLeft w:val="0"/>
      <w:marRight w:val="0"/>
      <w:marTop w:val="0"/>
      <w:marBottom w:val="0"/>
      <w:divBdr>
        <w:top w:val="none" w:sz="0" w:space="0" w:color="auto"/>
        <w:left w:val="none" w:sz="0" w:space="0" w:color="auto"/>
        <w:bottom w:val="none" w:sz="0" w:space="0" w:color="auto"/>
        <w:right w:val="none" w:sz="0" w:space="0" w:color="auto"/>
      </w:divBdr>
    </w:div>
    <w:div w:id="2041273064">
      <w:bodyDiv w:val="1"/>
      <w:marLeft w:val="0"/>
      <w:marRight w:val="0"/>
      <w:marTop w:val="0"/>
      <w:marBottom w:val="0"/>
      <w:divBdr>
        <w:top w:val="none" w:sz="0" w:space="0" w:color="auto"/>
        <w:left w:val="none" w:sz="0" w:space="0" w:color="auto"/>
        <w:bottom w:val="none" w:sz="0" w:space="0" w:color="auto"/>
        <w:right w:val="none" w:sz="0" w:space="0" w:color="auto"/>
      </w:divBdr>
    </w:div>
    <w:div w:id="21262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A3B27C751C4A3388C8B4D411052BA6"/>
        <w:category>
          <w:name w:val="Général"/>
          <w:gallery w:val="placeholder"/>
        </w:category>
        <w:types>
          <w:type w:val="bbPlcHdr"/>
        </w:types>
        <w:behaviors>
          <w:behavior w:val="content"/>
        </w:behaviors>
        <w:guid w:val="{4A87EC68-C5E6-4A35-9509-B612F812B6AB}"/>
      </w:docPartPr>
      <w:docPartBody>
        <w:p w:rsidR="000A1CEC" w:rsidRDefault="003E471F" w:rsidP="003E471F">
          <w:pPr>
            <w:pStyle w:val="B9A3B27C751C4A3388C8B4D411052BA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DF"/>
    <w:rsid w:val="000A1CEC"/>
    <w:rsid w:val="00141419"/>
    <w:rsid w:val="00206D6D"/>
    <w:rsid w:val="00297AD6"/>
    <w:rsid w:val="002B19E0"/>
    <w:rsid w:val="00316BDF"/>
    <w:rsid w:val="003E471F"/>
    <w:rsid w:val="00466D59"/>
    <w:rsid w:val="00501F74"/>
    <w:rsid w:val="006A1CC0"/>
    <w:rsid w:val="006C43C8"/>
    <w:rsid w:val="00710800"/>
    <w:rsid w:val="007A4CE5"/>
    <w:rsid w:val="007B3379"/>
    <w:rsid w:val="0084332F"/>
    <w:rsid w:val="00876332"/>
    <w:rsid w:val="009F1F0D"/>
    <w:rsid w:val="009F61C1"/>
    <w:rsid w:val="00A46C41"/>
    <w:rsid w:val="00AB3460"/>
    <w:rsid w:val="00B42670"/>
    <w:rsid w:val="00C77153"/>
    <w:rsid w:val="00CB45A9"/>
    <w:rsid w:val="00DE7E0C"/>
    <w:rsid w:val="00FB2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94F24294EB4A56BE55E1312AF9F94C">
    <w:name w:val="2594F24294EB4A56BE55E1312AF9F94C"/>
    <w:rsid w:val="00316BDF"/>
  </w:style>
  <w:style w:type="paragraph" w:customStyle="1" w:styleId="B9A3B27C751C4A3388C8B4D411052BA6">
    <w:name w:val="B9A3B27C751C4A3388C8B4D411052BA6"/>
    <w:rsid w:val="003E4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4E78-9439-4AD9-8AE6-0D7B2AAF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Novembre 2023 - Mise en place de la Prime Pouvoir d’Achat</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Novembre 2023 - Mise en place de la Prime Pouvoir d’Achat</dc:title>
  <dc:creator>Caroline CG. GEORGET</dc:creator>
  <cp:lastModifiedBy>Corinne AUDOUX</cp:lastModifiedBy>
  <cp:revision>2</cp:revision>
  <cp:lastPrinted>2023-10-27T12:49:00Z</cp:lastPrinted>
  <dcterms:created xsi:type="dcterms:W3CDTF">2023-11-07T16:02:00Z</dcterms:created>
  <dcterms:modified xsi:type="dcterms:W3CDTF">2023-11-07T16:02:00Z</dcterms:modified>
</cp:coreProperties>
</file>