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BF" w:rsidRPr="00D67604" w:rsidRDefault="00B572E7" w:rsidP="00CC34BF">
      <w:pPr>
        <w:pStyle w:val="Default"/>
        <w:jc w:val="center"/>
        <w:rPr>
          <w:rFonts w:cs="HelveticaNeue-Light"/>
          <w:b/>
          <w:smallCaps/>
          <w:color w:val="0070C0"/>
          <w:sz w:val="34"/>
          <w:szCs w:val="36"/>
        </w:rPr>
      </w:pPr>
      <w:r>
        <w:rPr>
          <w:noProof/>
        </w:rPr>
        <w:drawing>
          <wp:anchor distT="0" distB="0" distL="114300" distR="114300" simplePos="0" relativeHeight="251659264" behindDoc="0" locked="0" layoutInCell="1" allowOverlap="1" wp14:anchorId="779DA83F" wp14:editId="764C66E1">
            <wp:simplePos x="0" y="0"/>
            <wp:positionH relativeFrom="column">
              <wp:posOffset>-680101</wp:posOffset>
            </wp:positionH>
            <wp:positionV relativeFrom="paragraph">
              <wp:posOffset>-764811</wp:posOffset>
            </wp:positionV>
            <wp:extent cx="991589" cy="68913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737" cy="690629"/>
                    </a:xfrm>
                    <a:prstGeom prst="rect">
                      <a:avLst/>
                    </a:prstGeom>
                  </pic:spPr>
                </pic:pic>
              </a:graphicData>
            </a:graphic>
            <wp14:sizeRelH relativeFrom="margin">
              <wp14:pctWidth>0</wp14:pctWidth>
            </wp14:sizeRelH>
            <wp14:sizeRelV relativeFrom="margin">
              <wp14:pctHeight>0</wp14:pctHeight>
            </wp14:sizeRelV>
          </wp:anchor>
        </w:drawing>
      </w:r>
      <w:r w:rsidR="00CC34BF" w:rsidRPr="00D67604">
        <w:rPr>
          <w:rFonts w:cs="HelveticaNeue-Light"/>
          <w:b/>
          <w:smallCaps/>
          <w:color w:val="0070C0"/>
          <w:sz w:val="34"/>
          <w:szCs w:val="36"/>
        </w:rPr>
        <w:t>Saisine du Comité</w:t>
      </w:r>
      <w:r w:rsidR="00B0002E">
        <w:rPr>
          <w:rFonts w:cs="HelveticaNeue-Light"/>
          <w:b/>
          <w:smallCaps/>
          <w:color w:val="0070C0"/>
          <w:sz w:val="34"/>
          <w:szCs w:val="36"/>
        </w:rPr>
        <w:t xml:space="preserve"> Social</w:t>
      </w:r>
      <w:r w:rsidR="00CC34BF" w:rsidRPr="00D67604">
        <w:rPr>
          <w:rFonts w:cs="HelveticaNeue-Light"/>
          <w:b/>
          <w:smallCaps/>
          <w:color w:val="0070C0"/>
          <w:sz w:val="34"/>
          <w:szCs w:val="36"/>
        </w:rPr>
        <w:t xml:space="preserve"> T</w:t>
      </w:r>
      <w:r w:rsidR="00B933DF">
        <w:rPr>
          <w:rFonts w:cs="HelveticaNeue-Light"/>
          <w:b/>
          <w:smallCaps/>
          <w:color w:val="0070C0"/>
          <w:sz w:val="34"/>
          <w:szCs w:val="36"/>
        </w:rPr>
        <w:t>erritorial</w:t>
      </w:r>
      <w:r w:rsidR="00CC34BF" w:rsidRPr="00D67604">
        <w:rPr>
          <w:rFonts w:cs="HelveticaNeue-Light"/>
          <w:b/>
          <w:smallCaps/>
          <w:color w:val="0070C0"/>
          <w:sz w:val="34"/>
          <w:szCs w:val="36"/>
        </w:rPr>
        <w:t xml:space="preserve"> </w:t>
      </w:r>
      <w:r w:rsidR="00631839" w:rsidRPr="00D67604">
        <w:rPr>
          <w:rFonts w:cs="HelveticaNeue-Light"/>
          <w:b/>
          <w:smallCaps/>
          <w:color w:val="0070C0"/>
          <w:sz w:val="34"/>
          <w:szCs w:val="36"/>
        </w:rPr>
        <w:t>(C</w:t>
      </w:r>
      <w:r w:rsidR="00B933DF">
        <w:rPr>
          <w:rFonts w:cs="HelveticaNeue-Light"/>
          <w:b/>
          <w:smallCaps/>
          <w:color w:val="0070C0"/>
          <w:sz w:val="34"/>
          <w:szCs w:val="36"/>
        </w:rPr>
        <w:t>S</w:t>
      </w:r>
      <w:r w:rsidR="00631839" w:rsidRPr="00D67604">
        <w:rPr>
          <w:rFonts w:cs="HelveticaNeue-Light"/>
          <w:b/>
          <w:smallCaps/>
          <w:color w:val="0070C0"/>
          <w:sz w:val="34"/>
          <w:szCs w:val="36"/>
        </w:rPr>
        <w:t>T)</w:t>
      </w:r>
      <w:r w:rsidR="003D0CA3" w:rsidRPr="003D0CA3">
        <w:rPr>
          <w:rFonts w:ascii="Calibri" w:hAnsi="Calibri"/>
          <w:noProof/>
          <w:sz w:val="22"/>
          <w:szCs w:val="22"/>
        </w:rPr>
        <w:t xml:space="preserve"> </w:t>
      </w:r>
    </w:p>
    <w:p w:rsidR="00B0002E" w:rsidRDefault="00B0002E" w:rsidP="00D67604">
      <w:pPr>
        <w:pStyle w:val="Default"/>
        <w:spacing w:before="120"/>
        <w:jc w:val="center"/>
        <w:rPr>
          <w:rFonts w:cs="HelveticaNeue-Light"/>
          <w:b/>
          <w:smallCaps/>
          <w:color w:val="0070C0"/>
          <w:szCs w:val="36"/>
        </w:rPr>
      </w:pPr>
      <w:r w:rsidRPr="00E279C3">
        <w:rPr>
          <w:rFonts w:cs="HelveticaNeue-Light"/>
          <w:b/>
          <w:smallCaps/>
          <w:color w:val="0070C0"/>
          <w:szCs w:val="36"/>
        </w:rPr>
        <w:t>Séance</w:t>
      </w:r>
      <w:r>
        <w:rPr>
          <w:rFonts w:cs="HelveticaNeue-Light"/>
          <w:b/>
          <w:smallCaps/>
          <w:color w:val="0070C0"/>
          <w:szCs w:val="36"/>
        </w:rPr>
        <w:t xml:space="preserve"> ordinaire 󠄃</w:t>
      </w:r>
      <w:r w:rsidRPr="00DB60E9">
        <w:rPr>
          <w:rFonts w:cs="HelveticaNeue-Light"/>
          <w:b/>
          <w:smallCaps/>
          <w:color w:val="0070C0"/>
          <w:szCs w:val="36"/>
        </w:rPr>
        <w:sym w:font="Webdings" w:char="F063"/>
      </w:r>
      <w:r>
        <w:rPr>
          <w:rFonts w:cs="HelveticaNeue-Light"/>
          <w:b/>
          <w:smallCaps/>
          <w:color w:val="0070C0"/>
          <w:szCs w:val="36"/>
        </w:rPr>
        <w:tab/>
        <w:t xml:space="preserve">extraordinaire </w:t>
      </w:r>
      <w:r w:rsidRPr="00DB60E9">
        <w:rPr>
          <w:rFonts w:cs="HelveticaNeue-Light"/>
          <w:b/>
          <w:smallCaps/>
          <w:color w:val="0070C0"/>
          <w:szCs w:val="36"/>
        </w:rPr>
        <w:sym w:font="Webdings" w:char="F063"/>
      </w:r>
    </w:p>
    <w:p w:rsidR="00D67604" w:rsidRPr="00E279C3" w:rsidRDefault="00D67604" w:rsidP="00D67604">
      <w:pPr>
        <w:pStyle w:val="Default"/>
        <w:spacing w:before="120"/>
        <w:jc w:val="center"/>
        <w:rPr>
          <w:rFonts w:cs="HelveticaNeue-Light"/>
          <w:b/>
          <w:smallCaps/>
          <w:color w:val="0070C0"/>
          <w:szCs w:val="36"/>
        </w:rPr>
      </w:pPr>
      <w:r w:rsidRPr="00E279C3">
        <w:rPr>
          <w:rFonts w:cs="HelveticaNeue-Light"/>
          <w:b/>
          <w:smallCaps/>
          <w:color w:val="0070C0"/>
          <w:szCs w:val="36"/>
        </w:rPr>
        <w:t>Séance du …………………………………………</w:t>
      </w:r>
    </w:p>
    <w:p w:rsidR="00CC34BF" w:rsidRPr="00D67604" w:rsidRDefault="00CC34BF" w:rsidP="00CC34BF">
      <w:pPr>
        <w:pStyle w:val="Default"/>
        <w:rPr>
          <w:rFonts w:ascii="Calibri" w:hAnsi="Calibri"/>
          <w:sz w:val="16"/>
          <w:szCs w:val="22"/>
        </w:rPr>
      </w:pPr>
    </w:p>
    <w:p w:rsidR="00CC34BF" w:rsidRPr="00CC34BF" w:rsidRDefault="00CC34BF" w:rsidP="00654A12">
      <w:pPr>
        <w:pStyle w:val="Default"/>
        <w:jc w:val="both"/>
        <w:rPr>
          <w:rFonts w:ascii="Calibri" w:hAnsi="Calibri"/>
          <w:sz w:val="28"/>
          <w:szCs w:val="22"/>
        </w:rPr>
      </w:pPr>
      <w:r w:rsidRPr="00904F9E">
        <w:rPr>
          <w:rFonts w:ascii="Calibri" w:hAnsi="Calibri"/>
          <w:b/>
          <w:bCs/>
          <w:caps/>
          <w:sz w:val="28"/>
          <w:szCs w:val="22"/>
          <w:u w:val="single"/>
        </w:rPr>
        <w:t>Objet</w:t>
      </w:r>
      <w:r w:rsidRPr="00CC34BF">
        <w:rPr>
          <w:rFonts w:ascii="Calibri" w:hAnsi="Calibri"/>
          <w:b/>
          <w:bCs/>
          <w:sz w:val="28"/>
          <w:szCs w:val="22"/>
        </w:rPr>
        <w:t xml:space="preserve"> :</w:t>
      </w:r>
      <w:r w:rsidRPr="00CC34BF">
        <w:rPr>
          <w:rFonts w:ascii="Calibri" w:hAnsi="Calibri"/>
          <w:sz w:val="28"/>
          <w:szCs w:val="22"/>
        </w:rPr>
        <w:t xml:space="preserve"> </w:t>
      </w:r>
      <w:r w:rsidR="00EC09FB">
        <w:rPr>
          <w:b/>
          <w:smallCaps/>
          <w:sz w:val="28"/>
        </w:rPr>
        <w:t>Compte épargne temps</w:t>
      </w:r>
      <w:r w:rsidRPr="00CC34BF">
        <w:rPr>
          <w:rFonts w:ascii="Calibri" w:hAnsi="Calibri"/>
          <w:sz w:val="28"/>
          <w:szCs w:val="22"/>
        </w:rPr>
        <w:t xml:space="preserve"> </w:t>
      </w:r>
    </w:p>
    <w:p w:rsidR="002665DA" w:rsidRDefault="002665DA" w:rsidP="002665DA">
      <w:pPr>
        <w:pStyle w:val="Default"/>
        <w:spacing w:before="120" w:after="120"/>
        <w:jc w:val="both"/>
        <w:rPr>
          <w:rFonts w:ascii="Calibri" w:hAnsi="Calibri"/>
          <w:b/>
          <w:bCs/>
          <w:sz w:val="22"/>
          <w:szCs w:val="22"/>
        </w:rPr>
      </w:pPr>
      <w:r w:rsidRPr="005F6CE7">
        <w:rPr>
          <w:rFonts w:ascii="Calibri" w:hAnsi="Calibri"/>
          <w:b/>
          <w:bCs/>
          <w:sz w:val="22"/>
          <w:szCs w:val="22"/>
          <w:u w:val="single"/>
        </w:rPr>
        <w:t>Textes principaux de référence</w:t>
      </w:r>
      <w:r w:rsidRPr="00EF0FE9">
        <w:rPr>
          <w:rFonts w:ascii="Calibri" w:hAnsi="Calibri"/>
          <w:b/>
          <w:bCs/>
          <w:sz w:val="22"/>
          <w:szCs w:val="22"/>
        </w:rPr>
        <w:t xml:space="preserve"> : </w:t>
      </w:r>
      <w:bookmarkStart w:id="0" w:name="_GoBack"/>
      <w:bookmarkEnd w:id="0"/>
    </w:p>
    <w:p w:rsidR="00BC61F4" w:rsidRPr="005B13AE" w:rsidRDefault="00052FB1" w:rsidP="005B13AE">
      <w:pPr>
        <w:pStyle w:val="Default"/>
        <w:numPr>
          <w:ilvl w:val="0"/>
          <w:numId w:val="1"/>
        </w:numPr>
        <w:ind w:left="425" w:hanging="357"/>
        <w:jc w:val="both"/>
        <w:rPr>
          <w:rFonts w:asciiTheme="minorHAnsi" w:hAnsiTheme="minorHAnsi"/>
          <w:sz w:val="16"/>
          <w:szCs w:val="18"/>
        </w:rPr>
      </w:pPr>
      <w:r w:rsidRPr="005B13AE">
        <w:rPr>
          <w:rFonts w:asciiTheme="minorHAnsi" w:hAnsiTheme="minorHAnsi" w:cs="ArialMT"/>
          <w:sz w:val="18"/>
          <w:szCs w:val="20"/>
        </w:rPr>
        <w:t>Article L611-2 du Code général de la fonction publique</w:t>
      </w:r>
      <w:r w:rsidR="00EC09FB" w:rsidRPr="005B13AE">
        <w:rPr>
          <w:rFonts w:asciiTheme="minorHAnsi" w:hAnsiTheme="minorHAnsi" w:cs="ArialMT"/>
          <w:sz w:val="18"/>
          <w:szCs w:val="20"/>
        </w:rPr>
        <w:t>,</w:t>
      </w:r>
    </w:p>
    <w:p w:rsidR="00EC09FB" w:rsidRDefault="00EC09FB" w:rsidP="00EC09FB">
      <w:pPr>
        <w:pStyle w:val="Paragraphedeliste"/>
        <w:numPr>
          <w:ilvl w:val="0"/>
          <w:numId w:val="1"/>
        </w:numPr>
        <w:autoSpaceDE w:val="0"/>
        <w:autoSpaceDN w:val="0"/>
        <w:adjustRightInd w:val="0"/>
        <w:ind w:left="426"/>
        <w:jc w:val="both"/>
        <w:rPr>
          <w:rFonts w:asciiTheme="minorHAnsi" w:hAnsiTheme="minorHAnsi" w:cs="ArialMT"/>
          <w:sz w:val="18"/>
          <w:szCs w:val="20"/>
        </w:rPr>
      </w:pPr>
      <w:r w:rsidRPr="00EC09FB">
        <w:rPr>
          <w:rFonts w:asciiTheme="minorHAnsi" w:hAnsiTheme="minorHAnsi" w:cs="ArialMT"/>
          <w:sz w:val="18"/>
          <w:szCs w:val="20"/>
        </w:rPr>
        <w:t>Décret n° 2004-878 du 26 août 2004 relatif au compte épargne temps dans la Fonction Publique Territoriale modifié,</w:t>
      </w:r>
    </w:p>
    <w:p w:rsidR="005B13AE" w:rsidRDefault="007B68B3" w:rsidP="005B13AE">
      <w:pPr>
        <w:pStyle w:val="Paragraphedeliste"/>
        <w:numPr>
          <w:ilvl w:val="0"/>
          <w:numId w:val="1"/>
        </w:numPr>
        <w:autoSpaceDE w:val="0"/>
        <w:autoSpaceDN w:val="0"/>
        <w:adjustRightInd w:val="0"/>
        <w:ind w:left="426"/>
        <w:jc w:val="both"/>
        <w:rPr>
          <w:rFonts w:asciiTheme="minorHAnsi" w:hAnsiTheme="minorHAnsi" w:cs="ArialMT"/>
          <w:sz w:val="18"/>
          <w:szCs w:val="20"/>
        </w:rPr>
      </w:pPr>
      <w:r w:rsidRPr="00BF42BE">
        <w:rPr>
          <w:rFonts w:asciiTheme="minorHAnsi" w:hAnsiTheme="minorHAnsi" w:cs="ArialMT"/>
          <w:sz w:val="18"/>
          <w:szCs w:val="20"/>
        </w:rPr>
        <w:t xml:space="preserve">Décret n° 2020-287 du 20 mars 2020 relatif au bénéfice de plein droit des droits à congés accumulés sur son compte épargne-temps </w:t>
      </w:r>
      <w:r w:rsidR="003E2D80" w:rsidRPr="00BF42BE">
        <w:rPr>
          <w:rFonts w:asciiTheme="minorHAnsi" w:hAnsiTheme="minorHAnsi" w:cs="ArialMT"/>
          <w:sz w:val="18"/>
          <w:szCs w:val="20"/>
        </w:rPr>
        <w:t>par les agents publics</w:t>
      </w:r>
    </w:p>
    <w:p w:rsidR="005B13AE" w:rsidRPr="005B13AE" w:rsidRDefault="005B13AE" w:rsidP="005B13AE">
      <w:pPr>
        <w:pStyle w:val="Paragraphedeliste"/>
        <w:numPr>
          <w:ilvl w:val="0"/>
          <w:numId w:val="1"/>
        </w:numPr>
        <w:autoSpaceDE w:val="0"/>
        <w:autoSpaceDN w:val="0"/>
        <w:adjustRightInd w:val="0"/>
        <w:ind w:left="426"/>
        <w:jc w:val="both"/>
        <w:rPr>
          <w:rFonts w:asciiTheme="minorHAnsi" w:hAnsiTheme="minorHAnsi" w:cs="ArialMT"/>
          <w:sz w:val="18"/>
          <w:szCs w:val="20"/>
        </w:rPr>
      </w:pPr>
      <w:r>
        <w:rPr>
          <w:rFonts w:asciiTheme="minorHAnsi" w:hAnsiTheme="minorHAnsi" w:cs="ArialMT"/>
          <w:sz w:val="18"/>
          <w:szCs w:val="20"/>
        </w:rPr>
        <w:t>Arrêté du 24 novembre 2023 fixant les montants des jours indemnisés dans le cadre du Compte Epargne Temps (CET)</w:t>
      </w:r>
    </w:p>
    <w:p w:rsidR="002665DA" w:rsidRPr="00122421" w:rsidRDefault="002665DA" w:rsidP="002665DA">
      <w:pPr>
        <w:pStyle w:val="Default"/>
        <w:ind w:left="425"/>
        <w:jc w:val="both"/>
        <w:rPr>
          <w:rFonts w:ascii="Calibri" w:hAnsi="Calibri"/>
          <w:sz w:val="18"/>
          <w:szCs w:val="22"/>
        </w:rPr>
      </w:pPr>
    </w:p>
    <w:p w:rsidR="00126A13" w:rsidRPr="00126A13" w:rsidRDefault="00126A13" w:rsidP="00176A96">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ind w:right="-284"/>
        <w:rPr>
          <w:rFonts w:ascii="Calibri" w:hAnsi="Calibri"/>
          <w:b/>
          <w:bCs/>
          <w:smallCaps/>
          <w:sz w:val="12"/>
          <w:szCs w:val="22"/>
          <w:u w:val="single"/>
        </w:rPr>
      </w:pPr>
    </w:p>
    <w:p w:rsidR="00CC34BF" w:rsidRDefault="00BB09A1"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2"/>
          <w:szCs w:val="22"/>
        </w:rPr>
      </w:pPr>
      <w:r>
        <w:rPr>
          <w:rFonts w:ascii="Calibri" w:hAnsi="Calibri"/>
          <w:b/>
          <w:bCs/>
          <w:smallCaps/>
          <w:sz w:val="22"/>
          <w:szCs w:val="22"/>
          <w:u w:val="single"/>
        </w:rPr>
        <w:t>Collectivité</w:t>
      </w:r>
      <w:r w:rsidR="00D67604">
        <w:rPr>
          <w:rFonts w:ascii="Calibri" w:hAnsi="Calibri"/>
          <w:b/>
          <w:bCs/>
          <w:smallCaps/>
          <w:sz w:val="22"/>
          <w:szCs w:val="22"/>
          <w:u w:val="single"/>
        </w:rPr>
        <w:t>/Etablissement public</w:t>
      </w:r>
      <w:r w:rsidR="00CC34BF" w:rsidRPr="0099329E">
        <w:rPr>
          <w:rFonts w:ascii="Calibri" w:hAnsi="Calibri"/>
          <w:sz w:val="22"/>
          <w:szCs w:val="22"/>
        </w:rPr>
        <w:t xml:space="preserve"> :</w:t>
      </w:r>
      <w:r w:rsidR="00CC34BF" w:rsidRPr="00EF0FE9">
        <w:rPr>
          <w:rFonts w:ascii="Calibri" w:hAnsi="Calibri"/>
          <w:sz w:val="22"/>
          <w:szCs w:val="22"/>
        </w:rPr>
        <w:t xml:space="preserve"> </w:t>
      </w:r>
      <w:r w:rsidR="00CC34BF" w:rsidRPr="00126A13">
        <w:rPr>
          <w:rFonts w:ascii="Calibri" w:hAnsi="Calibri"/>
          <w:sz w:val="20"/>
          <w:szCs w:val="22"/>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4536"/>
          <w:tab w:val="left" w:leader="dot" w:pos="9072"/>
        </w:tabs>
        <w:spacing w:before="60"/>
        <w:ind w:right="-284"/>
        <w:rPr>
          <w:rFonts w:ascii="Calibri" w:hAnsi="Calibri"/>
          <w:sz w:val="20"/>
          <w:szCs w:val="20"/>
        </w:rPr>
      </w:pPr>
      <w:r w:rsidRPr="004F2635">
        <w:rPr>
          <w:rFonts w:ascii="Calibri" w:hAnsi="Calibri"/>
          <w:sz w:val="20"/>
          <w:szCs w:val="20"/>
        </w:rPr>
        <w:tab/>
      </w:r>
      <w:r w:rsidR="001F21B7">
        <w:rPr>
          <w:rFonts w:ascii="Calibri" w:hAnsi="Calibri"/>
          <w:sz w:val="20"/>
          <w:szCs w:val="20"/>
        </w:rPr>
        <w:t>Ville</w:t>
      </w:r>
      <w:r w:rsidR="00556B92" w:rsidRPr="004F2635">
        <w:rPr>
          <w:rFonts w:ascii="Calibri" w:hAnsi="Calibri"/>
          <w:sz w:val="20"/>
          <w:szCs w:val="20"/>
        </w:rPr>
        <w:t> :</w:t>
      </w:r>
      <w:r w:rsidR="00556B92" w:rsidRPr="004F2635">
        <w:rPr>
          <w:rFonts w:ascii="Calibri" w:hAnsi="Calibri"/>
          <w:sz w:val="20"/>
          <w:szCs w:val="20"/>
        </w:rPr>
        <w:tab/>
      </w:r>
    </w:p>
    <w:p w:rsidR="00136C18" w:rsidRPr="004F2635" w:rsidRDefault="00136C18"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0"/>
          <w:szCs w:val="20"/>
        </w:rPr>
      </w:pPr>
      <w:r w:rsidRPr="004F2635">
        <w:rPr>
          <w:rFonts w:ascii="Calibri" w:hAnsi="Calibri"/>
          <w:sz w:val="20"/>
          <w:szCs w:val="20"/>
        </w:rPr>
        <w:t xml:space="preserve">Nombre d’habitants : </w:t>
      </w:r>
      <w:r w:rsidRPr="004F2635">
        <w:rPr>
          <w:rFonts w:ascii="Calibri" w:hAnsi="Calibri"/>
          <w:sz w:val="20"/>
          <w:szCs w:val="20"/>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0"/>
          <w:szCs w:val="20"/>
        </w:rPr>
      </w:pPr>
      <w:r w:rsidRPr="004F2635">
        <w:rPr>
          <w:rFonts w:ascii="Calibri" w:hAnsi="Calibri"/>
          <w:sz w:val="20"/>
          <w:szCs w:val="20"/>
        </w:rPr>
        <w:t xml:space="preserve">Personne en charge du dossier </w:t>
      </w:r>
      <w:r w:rsidRPr="004F2635">
        <w:rPr>
          <w:rFonts w:ascii="Calibri" w:hAnsi="Calibri"/>
          <w:sz w:val="20"/>
          <w:szCs w:val="20"/>
        </w:rPr>
        <w:tab/>
      </w:r>
    </w:p>
    <w:p w:rsidR="008A4930" w:rsidRPr="004F2635" w:rsidRDefault="008A4930" w:rsidP="00B67E34">
      <w:pPr>
        <w:pStyle w:val="Default"/>
        <w:pBdr>
          <w:top w:val="single" w:sz="4" w:space="1" w:color="auto" w:shadow="1"/>
          <w:left w:val="single" w:sz="4" w:space="4" w:color="auto" w:shadow="1"/>
          <w:bottom w:val="single" w:sz="4" w:space="1" w:color="auto" w:shadow="1"/>
          <w:right w:val="single" w:sz="4" w:space="0" w:color="auto" w:shadow="1"/>
        </w:pBdr>
        <w:tabs>
          <w:tab w:val="left" w:pos="4536"/>
          <w:tab w:val="left" w:leader="dot" w:pos="9072"/>
        </w:tabs>
        <w:spacing w:before="60"/>
        <w:ind w:right="-284"/>
        <w:rPr>
          <w:rFonts w:ascii="Calibri" w:hAnsi="Calibri"/>
          <w:sz w:val="20"/>
          <w:szCs w:val="20"/>
        </w:rPr>
      </w:pPr>
      <w:r w:rsidRPr="004F2635">
        <w:rPr>
          <w:rFonts w:ascii="Calibri" w:hAnsi="Calibri"/>
          <w:sz w:val="20"/>
          <w:szCs w:val="20"/>
        </w:rPr>
        <w:sym w:font="Wingdings" w:char="F028"/>
      </w:r>
      <w:r w:rsidRPr="004F2635">
        <w:rPr>
          <w:rFonts w:ascii="Calibri" w:hAnsi="Calibri"/>
          <w:sz w:val="20"/>
          <w:szCs w:val="20"/>
        </w:rPr>
        <w:t> : …</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009675B4">
        <w:rPr>
          <w:rFonts w:ascii="Calibri" w:hAnsi="Calibri"/>
          <w:sz w:val="20"/>
          <w:szCs w:val="20"/>
        </w:rPr>
        <w:t>...</w:t>
      </w:r>
      <w:r w:rsidR="001926A2" w:rsidRPr="004F2635">
        <w:rPr>
          <w:rFonts w:ascii="Calibri" w:hAnsi="Calibri"/>
          <w:sz w:val="20"/>
          <w:szCs w:val="20"/>
        </w:rPr>
        <w:tab/>
        <w:t xml:space="preserve">Mail : </w:t>
      </w:r>
      <w:r w:rsidR="001926A2" w:rsidRPr="004F2635">
        <w:rPr>
          <w:rFonts w:ascii="Calibri" w:hAnsi="Calibri"/>
          <w:sz w:val="20"/>
          <w:szCs w:val="20"/>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9072"/>
        </w:tabs>
        <w:spacing w:before="60"/>
        <w:ind w:right="-284"/>
        <w:rPr>
          <w:rFonts w:ascii="Calibri" w:hAnsi="Calibri"/>
          <w:sz w:val="20"/>
          <w:szCs w:val="20"/>
        </w:rPr>
      </w:pPr>
      <w:r w:rsidRPr="004F2635">
        <w:rPr>
          <w:rFonts w:ascii="Calibri" w:hAnsi="Calibri"/>
          <w:sz w:val="20"/>
          <w:szCs w:val="20"/>
        </w:rPr>
        <w:t>Nom</w:t>
      </w:r>
      <w:r w:rsidR="00B739F2" w:rsidRPr="004F2635">
        <w:rPr>
          <w:rFonts w:ascii="Calibri" w:hAnsi="Calibri"/>
          <w:sz w:val="20"/>
          <w:szCs w:val="20"/>
        </w:rPr>
        <w:t xml:space="preserve">bre d’agents : </w:t>
      </w:r>
      <w:r w:rsidR="00D67604" w:rsidRPr="004F2635">
        <w:rPr>
          <w:rFonts w:ascii="Calibri" w:hAnsi="Calibri"/>
          <w:sz w:val="20"/>
          <w:szCs w:val="20"/>
        </w:rPr>
        <w:tab/>
      </w:r>
      <w:r w:rsidR="00B739F2" w:rsidRPr="004F2635">
        <w:rPr>
          <w:rFonts w:ascii="Calibri" w:hAnsi="Calibri"/>
          <w:sz w:val="20"/>
          <w:szCs w:val="20"/>
        </w:rPr>
        <w:t>T</w:t>
      </w:r>
      <w:r w:rsidRPr="004F2635">
        <w:rPr>
          <w:rFonts w:ascii="Calibri" w:hAnsi="Calibri"/>
          <w:sz w:val="20"/>
          <w:szCs w:val="20"/>
        </w:rPr>
        <w:t xml:space="preserve">itulaires : </w:t>
      </w:r>
      <w:proofErr w:type="gramStart"/>
      <w:r w:rsidRPr="004F2635">
        <w:rPr>
          <w:rFonts w:ascii="Calibri" w:hAnsi="Calibri"/>
          <w:sz w:val="20"/>
          <w:szCs w:val="20"/>
        </w:rPr>
        <w:t>…</w:t>
      </w:r>
      <w:r w:rsidR="008A4930" w:rsidRPr="004F2635">
        <w:rPr>
          <w:rFonts w:ascii="Calibri" w:hAnsi="Calibri"/>
          <w:sz w:val="20"/>
          <w:szCs w:val="20"/>
        </w:rPr>
        <w:t>….</w:t>
      </w:r>
      <w:proofErr w:type="gramEnd"/>
      <w:r w:rsidR="008A4930" w:rsidRPr="004F2635">
        <w:rPr>
          <w:rFonts w:ascii="Calibri" w:hAnsi="Calibri"/>
          <w:sz w:val="20"/>
          <w:szCs w:val="20"/>
        </w:rPr>
        <w:t>.</w:t>
      </w:r>
      <w:r w:rsidRPr="004F2635">
        <w:rPr>
          <w:rFonts w:ascii="Calibri" w:hAnsi="Calibri"/>
          <w:sz w:val="20"/>
          <w:szCs w:val="20"/>
        </w:rPr>
        <w:tab/>
        <w:t xml:space="preserve">Stagiaires : </w:t>
      </w:r>
      <w:proofErr w:type="gramStart"/>
      <w:r w:rsidRPr="004F2635">
        <w:rPr>
          <w:rFonts w:ascii="Calibri" w:hAnsi="Calibri"/>
          <w:sz w:val="20"/>
          <w:szCs w:val="20"/>
        </w:rPr>
        <w:t>…</w:t>
      </w:r>
      <w:r w:rsidR="008A4930" w:rsidRPr="004F2635">
        <w:rPr>
          <w:rFonts w:ascii="Calibri" w:hAnsi="Calibri"/>
          <w:sz w:val="20"/>
          <w:szCs w:val="20"/>
        </w:rPr>
        <w:t>….</w:t>
      </w:r>
      <w:proofErr w:type="gramEnd"/>
      <w:r w:rsidRPr="004F2635">
        <w:rPr>
          <w:rFonts w:ascii="Calibri" w:hAnsi="Calibri"/>
          <w:sz w:val="20"/>
          <w:szCs w:val="20"/>
        </w:rPr>
        <w:t>.</w:t>
      </w:r>
      <w:r w:rsidRPr="004F2635">
        <w:rPr>
          <w:rFonts w:ascii="Calibri" w:hAnsi="Calibri"/>
          <w:sz w:val="20"/>
          <w:szCs w:val="20"/>
        </w:rPr>
        <w:tab/>
      </w:r>
      <w:r w:rsidR="006A3EB7" w:rsidRPr="004F2635">
        <w:rPr>
          <w:rFonts w:ascii="Calibri" w:hAnsi="Calibri"/>
          <w:sz w:val="20"/>
          <w:szCs w:val="20"/>
        </w:rPr>
        <w:t>Contractuels</w:t>
      </w:r>
      <w:r w:rsidRPr="004F2635">
        <w:rPr>
          <w:rFonts w:ascii="Calibri" w:hAnsi="Calibri"/>
          <w:sz w:val="20"/>
          <w:szCs w:val="20"/>
        </w:rPr>
        <w:t xml:space="preserve"> : </w:t>
      </w:r>
      <w:proofErr w:type="gramStart"/>
      <w:r w:rsidRPr="004F2635">
        <w:rPr>
          <w:rFonts w:ascii="Calibri" w:hAnsi="Calibri"/>
          <w:sz w:val="20"/>
          <w:szCs w:val="20"/>
        </w:rPr>
        <w:t>…</w:t>
      </w:r>
      <w:r w:rsidR="008A4930" w:rsidRPr="004F2635">
        <w:rPr>
          <w:rFonts w:ascii="Calibri" w:hAnsi="Calibri"/>
          <w:sz w:val="20"/>
          <w:szCs w:val="20"/>
        </w:rPr>
        <w:t>…</w:t>
      </w:r>
      <w:r w:rsidRPr="004F2635">
        <w:rPr>
          <w:rFonts w:ascii="Calibri" w:hAnsi="Calibri"/>
          <w:sz w:val="20"/>
          <w:szCs w:val="20"/>
        </w:rPr>
        <w:t>.</w:t>
      </w:r>
      <w:proofErr w:type="gramEnd"/>
      <w:r w:rsidRPr="004F2635">
        <w:rPr>
          <w:rFonts w:ascii="Calibri" w:hAnsi="Calibri"/>
          <w:sz w:val="20"/>
          <w:szCs w:val="20"/>
        </w:rPr>
        <w:t xml:space="preserve">. </w:t>
      </w:r>
    </w:p>
    <w:p w:rsidR="00136C18" w:rsidRPr="00654A12" w:rsidRDefault="00136C18" w:rsidP="00176A96">
      <w:pPr>
        <w:pStyle w:val="Default"/>
        <w:pBdr>
          <w:top w:val="single" w:sz="4" w:space="1" w:color="auto" w:shadow="1"/>
          <w:left w:val="single" w:sz="4" w:space="4" w:color="auto" w:shadow="1"/>
          <w:bottom w:val="single" w:sz="4" w:space="1" w:color="auto" w:shadow="1"/>
          <w:right w:val="single" w:sz="4" w:space="0" w:color="auto" w:shadow="1"/>
        </w:pBdr>
        <w:tabs>
          <w:tab w:val="left" w:leader="dot" w:pos="9214"/>
        </w:tabs>
        <w:ind w:right="-284"/>
        <w:rPr>
          <w:rFonts w:ascii="Calibri" w:hAnsi="Calibri"/>
          <w:sz w:val="12"/>
          <w:szCs w:val="22"/>
        </w:rPr>
      </w:pPr>
    </w:p>
    <w:p w:rsidR="00D6613A" w:rsidRPr="00654A12" w:rsidRDefault="00D6613A" w:rsidP="00CC34BF">
      <w:pPr>
        <w:pStyle w:val="Default"/>
        <w:rPr>
          <w:rFonts w:ascii="Calibri" w:hAnsi="Calibri"/>
          <w:sz w:val="12"/>
          <w:szCs w:val="22"/>
        </w:rPr>
      </w:pPr>
    </w:p>
    <w:p w:rsidR="00EC09FB" w:rsidRPr="00EC09FB" w:rsidRDefault="00EC09FB" w:rsidP="00EC09FB">
      <w:pPr>
        <w:autoSpaceDE w:val="0"/>
        <w:autoSpaceDN w:val="0"/>
        <w:adjustRightInd w:val="0"/>
        <w:spacing w:before="120" w:after="0" w:line="240" w:lineRule="auto"/>
        <w:jc w:val="both"/>
        <w:rPr>
          <w:rFonts w:asciiTheme="minorHAnsi" w:hAnsiTheme="minorHAnsi" w:cs="ArialMT"/>
          <w:sz w:val="20"/>
          <w:szCs w:val="20"/>
        </w:rPr>
      </w:pPr>
      <w:r w:rsidRPr="00EC09FB">
        <w:rPr>
          <w:rFonts w:asciiTheme="minorHAnsi" w:hAnsiTheme="minorHAnsi" w:cs="ArialMT"/>
          <w:sz w:val="20"/>
          <w:szCs w:val="20"/>
        </w:rPr>
        <w:t>L’organe délibérant détermine, après consultation du Comité technique, dans le respect de l’intérêt du service, les règles d’ouverture, de fonctionnement, de gestion et de fermeture du compte épargne</w:t>
      </w:r>
      <w:r w:rsidR="001F21B7">
        <w:rPr>
          <w:rFonts w:asciiTheme="minorHAnsi" w:hAnsiTheme="minorHAnsi" w:cs="ArialMT"/>
          <w:sz w:val="20"/>
          <w:szCs w:val="20"/>
        </w:rPr>
        <w:t xml:space="preserve"> </w:t>
      </w:r>
      <w:r w:rsidRPr="00EC09FB">
        <w:rPr>
          <w:rFonts w:asciiTheme="minorHAnsi" w:hAnsiTheme="minorHAnsi" w:cs="ArialMT"/>
          <w:sz w:val="20"/>
          <w:szCs w:val="20"/>
        </w:rPr>
        <w:t>temps ainsi que les modalités de son utilisation par l’agent.</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 compte épargne temps est ouvert aux agents titulaires et contractuels justifiant d’une année de service. Les stagiaires et les agents contractuels de droit privé ne peuvent bénéficier du CET.</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La règlementation fixe le cadre général mais il appartient à l’assemblée de fixer les modalités d’application locales.</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highlight w:val="yellow"/>
        </w:rPr>
        <w:t>Le Maire (ou le président)</w:t>
      </w:r>
      <w:r w:rsidRPr="00EC09FB">
        <w:rPr>
          <w:rFonts w:asciiTheme="minorHAnsi" w:hAnsiTheme="minorHAnsi" w:cs="ArialMT"/>
          <w:sz w:val="20"/>
          <w:szCs w:val="20"/>
        </w:rPr>
        <w:t xml:space="preserve"> propose à l’assemblée de fixer comme suit les modalités d’application du compte épargne temps prévu au bénéfice des agents territoriaux, à compter du </w:t>
      </w:r>
      <w:r w:rsidRPr="00EC09FB">
        <w:rPr>
          <w:rFonts w:asciiTheme="minorHAnsi" w:hAnsiTheme="minorHAnsi" w:cs="ArialMT"/>
          <w:sz w:val="20"/>
          <w:szCs w:val="20"/>
          <w:highlight w:val="yellow"/>
        </w:rPr>
        <w:t>………………</w:t>
      </w:r>
    </w:p>
    <w:p w:rsidR="00EC09FB" w:rsidRPr="00EC09FB"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EC09FB">
        <w:rPr>
          <w:rFonts w:asciiTheme="minorHAnsi" w:hAnsiTheme="minorHAnsi" w:cs="ArialMT"/>
          <w:b/>
          <w:sz w:val="22"/>
          <w:szCs w:val="20"/>
        </w:rPr>
        <w:t>Alimentation du CET :</w:t>
      </w:r>
    </w:p>
    <w:p w:rsidR="00EC09FB" w:rsidRPr="00EC09FB" w:rsidRDefault="00EC09FB" w:rsidP="00EC09FB">
      <w:pPr>
        <w:autoSpaceDE w:val="0"/>
        <w:autoSpaceDN w:val="0"/>
        <w:adjustRightInd w:val="0"/>
        <w:spacing w:after="0" w:line="240" w:lineRule="auto"/>
        <w:jc w:val="both"/>
        <w:rPr>
          <w:rFonts w:asciiTheme="minorHAnsi" w:hAnsiTheme="minorHAnsi" w:cs="ArialMT"/>
          <w:sz w:val="20"/>
          <w:szCs w:val="20"/>
        </w:rPr>
      </w:pPr>
      <w:r w:rsidRPr="00EC09FB">
        <w:rPr>
          <w:rFonts w:asciiTheme="minorHAnsi" w:hAnsiTheme="minorHAnsi" w:cs="ArialMT"/>
          <w:sz w:val="20"/>
          <w:szCs w:val="20"/>
        </w:rPr>
        <w:t>Ce compte permet à leurs titulaires d'accumuler des droits à congés. Il est ouvert à la demande expresse de l'agent qui est informé annuellement des droits épargnés et consommés.</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 xml:space="preserve">L'alimentation du </w:t>
      </w:r>
      <w:proofErr w:type="gramStart"/>
      <w:r w:rsidRPr="00EC09FB">
        <w:rPr>
          <w:rFonts w:asciiTheme="minorHAnsi" w:hAnsiTheme="minorHAnsi" w:cs="ArialMT"/>
          <w:sz w:val="20"/>
          <w:szCs w:val="20"/>
        </w:rPr>
        <w:t>CET</w:t>
      </w:r>
      <w:proofErr w:type="gramEnd"/>
      <w:r w:rsidRPr="00EC09FB">
        <w:rPr>
          <w:rFonts w:asciiTheme="minorHAnsi" w:hAnsiTheme="minorHAnsi" w:cs="ArialMT"/>
          <w:sz w:val="20"/>
          <w:szCs w:val="20"/>
        </w:rPr>
        <w:t xml:space="preserve"> doit être effectuée par demande écrite de l'agent avant la fin de chaque année civile </w:t>
      </w:r>
      <w:r w:rsidRPr="00EC09FB">
        <w:rPr>
          <w:rFonts w:asciiTheme="minorHAnsi" w:hAnsiTheme="minorHAnsi" w:cs="ArialMT"/>
          <w:i/>
          <w:sz w:val="20"/>
          <w:szCs w:val="20"/>
          <w:highlight w:val="yellow"/>
        </w:rPr>
        <w:t>(ou au plus tard le 31 janvier de l'année suivante).</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Les jours pouvant être épargnés sont :</w:t>
      </w:r>
    </w:p>
    <w:p w:rsidR="00EC09FB" w:rsidRPr="00EC09FB" w:rsidRDefault="00EC09FB" w:rsidP="00EC09FB">
      <w:pPr>
        <w:autoSpaceDE w:val="0"/>
        <w:autoSpaceDN w:val="0"/>
        <w:adjustRightInd w:val="0"/>
        <w:spacing w:after="0" w:line="240" w:lineRule="auto"/>
        <w:rPr>
          <w:rFonts w:asciiTheme="minorHAnsi" w:hAnsiTheme="minorHAnsi" w:cs="ArialMT"/>
          <w:sz w:val="20"/>
          <w:szCs w:val="20"/>
        </w:rPr>
      </w:pPr>
      <w:r w:rsidRPr="00EC09FB">
        <w:rPr>
          <w:rFonts w:asciiTheme="minorHAnsi" w:hAnsiTheme="minorHAnsi" w:cs="ArialMT"/>
          <w:sz w:val="20"/>
          <w:szCs w:val="20"/>
        </w:rPr>
        <w:t xml:space="preserve">- les jours de congés annuels sans que le nombre de jours pris au titre de l'année soit inférieur à </w:t>
      </w:r>
      <w:r w:rsidR="00CA441C">
        <w:rPr>
          <w:rFonts w:asciiTheme="minorHAnsi" w:hAnsiTheme="minorHAnsi" w:cs="ArialMT"/>
          <w:sz w:val="20"/>
          <w:szCs w:val="20"/>
        </w:rPr>
        <w:t>4 semaines</w:t>
      </w:r>
      <w:r w:rsidRPr="00EC09FB">
        <w:rPr>
          <w:rFonts w:asciiTheme="minorHAnsi" w:hAnsiTheme="minorHAnsi" w:cs="ArialMT"/>
          <w:sz w:val="20"/>
          <w:szCs w:val="20"/>
        </w:rPr>
        <w:t> ;</w:t>
      </w:r>
    </w:p>
    <w:p w:rsidR="00EC09FB" w:rsidRPr="00EC09FB" w:rsidRDefault="00EC09FB" w:rsidP="00EC09FB">
      <w:pPr>
        <w:autoSpaceDE w:val="0"/>
        <w:autoSpaceDN w:val="0"/>
        <w:adjustRightInd w:val="0"/>
        <w:spacing w:after="0" w:line="240" w:lineRule="auto"/>
        <w:rPr>
          <w:rFonts w:asciiTheme="minorHAnsi" w:hAnsiTheme="minorHAnsi" w:cs="ArialMT"/>
          <w:sz w:val="20"/>
          <w:szCs w:val="20"/>
        </w:rPr>
      </w:pPr>
      <w:r w:rsidRPr="00EC09FB">
        <w:rPr>
          <w:rFonts w:asciiTheme="minorHAnsi" w:hAnsiTheme="minorHAnsi" w:cs="ArialMT"/>
          <w:sz w:val="20"/>
          <w:szCs w:val="20"/>
        </w:rPr>
        <w:t>- les jours RTT (jours de réduction du temps de travail), sans limite particulière ;</w:t>
      </w:r>
    </w:p>
    <w:p w:rsidR="00EC09FB" w:rsidRPr="00565B60" w:rsidRDefault="00EC09FB" w:rsidP="00EC09FB">
      <w:pPr>
        <w:autoSpaceDE w:val="0"/>
        <w:autoSpaceDN w:val="0"/>
        <w:adjustRightInd w:val="0"/>
        <w:spacing w:after="0" w:line="240" w:lineRule="auto"/>
        <w:rPr>
          <w:rFonts w:asciiTheme="minorHAnsi" w:hAnsiTheme="minorHAnsi" w:cs="ArialMT"/>
          <w:i/>
          <w:sz w:val="20"/>
          <w:szCs w:val="20"/>
        </w:rPr>
      </w:pPr>
      <w:r w:rsidRPr="00EC09FB">
        <w:rPr>
          <w:rFonts w:asciiTheme="minorHAnsi" w:hAnsiTheme="minorHAnsi" w:cs="ArialMT"/>
          <w:sz w:val="20"/>
          <w:szCs w:val="20"/>
        </w:rPr>
        <w:t xml:space="preserve">- </w:t>
      </w:r>
      <w:r w:rsidR="00565B60" w:rsidRPr="00565B60">
        <w:rPr>
          <w:rFonts w:asciiTheme="minorHAnsi" w:hAnsiTheme="minorHAnsi" w:cs="ArialMT"/>
          <w:sz w:val="20"/>
          <w:szCs w:val="20"/>
          <w:highlight w:val="yellow"/>
        </w:rPr>
        <w:t>les</w:t>
      </w:r>
      <w:r w:rsidRPr="00565B60">
        <w:rPr>
          <w:rFonts w:asciiTheme="minorHAnsi" w:hAnsiTheme="minorHAnsi" w:cs="ArialMT"/>
          <w:sz w:val="20"/>
          <w:szCs w:val="20"/>
          <w:highlight w:val="yellow"/>
        </w:rPr>
        <w:t xml:space="preserve"> repos compensateurs.</w:t>
      </w:r>
      <w:r w:rsidR="00565B60" w:rsidRPr="00565B60">
        <w:rPr>
          <w:rFonts w:asciiTheme="minorHAnsi" w:hAnsiTheme="minorHAnsi" w:cs="ArialMT"/>
          <w:sz w:val="20"/>
          <w:szCs w:val="20"/>
          <w:highlight w:val="yellow"/>
        </w:rPr>
        <w:t xml:space="preserve"> (</w:t>
      </w:r>
      <w:proofErr w:type="gramStart"/>
      <w:r w:rsidR="00565B60" w:rsidRPr="00565B60">
        <w:rPr>
          <w:rFonts w:asciiTheme="minorHAnsi" w:hAnsiTheme="minorHAnsi" w:cs="ArialMT"/>
          <w:i/>
          <w:sz w:val="20"/>
          <w:szCs w:val="20"/>
          <w:highlight w:val="yellow"/>
        </w:rPr>
        <w:t>à</w:t>
      </w:r>
      <w:proofErr w:type="gramEnd"/>
      <w:r w:rsidR="00565B60" w:rsidRPr="00565B60">
        <w:rPr>
          <w:rFonts w:asciiTheme="minorHAnsi" w:hAnsiTheme="minorHAnsi" w:cs="ArialMT"/>
          <w:i/>
          <w:sz w:val="20"/>
          <w:szCs w:val="20"/>
          <w:highlight w:val="yellow"/>
        </w:rPr>
        <w:t xml:space="preserve"> supprimer s’il n’y en a pas dans la collectivité/établissement</w:t>
      </w:r>
      <w:r w:rsidR="00565B60" w:rsidRPr="00565B60">
        <w:rPr>
          <w:rFonts w:asciiTheme="minorHAnsi" w:hAnsiTheme="minorHAnsi" w:cs="ArialMT"/>
          <w:sz w:val="20"/>
          <w:szCs w:val="20"/>
          <w:highlight w:val="yellow"/>
        </w:rPr>
        <w:t>)</w:t>
      </w:r>
    </w:p>
    <w:p w:rsidR="009923AE"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 plafond du nombre de jours épargnés est de 60.</w:t>
      </w:r>
    </w:p>
    <w:p w:rsidR="00EC09FB" w:rsidRPr="00EC09FB"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EC09FB">
        <w:rPr>
          <w:rFonts w:asciiTheme="minorHAnsi" w:hAnsiTheme="minorHAnsi" w:cs="ArialMT"/>
          <w:b/>
          <w:sz w:val="22"/>
          <w:szCs w:val="20"/>
        </w:rPr>
        <w:t>Utilisation du CET :</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L'agent peut utiliser tout ou partie de son CET, sous la forme de congés, pris dans les mêmes conditions que les congés annuels, dès qu'il le souhaite, sous réserve des nécessités de service.</w:t>
      </w:r>
    </w:p>
    <w:p w:rsid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Les nécessités de service ne pourront être opposées à l'utilisation des jours épargnés lorsque le compte arrive à échéance, à la cessation définitive de fonctions ou si le congé est sollicité à la suite d'un congé maternité, adoption, paternité</w:t>
      </w:r>
      <w:r w:rsidR="003E21C9">
        <w:rPr>
          <w:rFonts w:asciiTheme="minorHAnsi" w:hAnsiTheme="minorHAnsi" w:cs="ArialMT"/>
          <w:sz w:val="20"/>
          <w:szCs w:val="20"/>
        </w:rPr>
        <w:t xml:space="preserve">, </w:t>
      </w:r>
      <w:r w:rsidR="003E21C9" w:rsidRPr="00BF42BE">
        <w:rPr>
          <w:rFonts w:asciiTheme="minorHAnsi" w:hAnsiTheme="minorHAnsi" w:cstheme="minorHAnsi"/>
          <w:sz w:val="20"/>
        </w:rPr>
        <w:t>accueil de l’enfant, d’un congé de proche aidant ou d’un congé de solidarité familiale.</w:t>
      </w:r>
    </w:p>
    <w:p w:rsidR="003E21C9" w:rsidRDefault="003E21C9" w:rsidP="00EC09FB">
      <w:pPr>
        <w:autoSpaceDE w:val="0"/>
        <w:autoSpaceDN w:val="0"/>
        <w:adjustRightInd w:val="0"/>
        <w:spacing w:before="60" w:after="0" w:line="240" w:lineRule="auto"/>
        <w:jc w:val="both"/>
        <w:rPr>
          <w:rFonts w:asciiTheme="minorHAnsi" w:hAnsiTheme="minorHAnsi" w:cs="ArialMT"/>
          <w:sz w:val="20"/>
          <w:szCs w:val="20"/>
        </w:rPr>
      </w:pPr>
    </w:p>
    <w:p w:rsidR="003E21C9" w:rsidRDefault="003E21C9" w:rsidP="00EC09FB">
      <w:pPr>
        <w:autoSpaceDE w:val="0"/>
        <w:autoSpaceDN w:val="0"/>
        <w:adjustRightInd w:val="0"/>
        <w:spacing w:before="60" w:after="0" w:line="240" w:lineRule="auto"/>
        <w:jc w:val="both"/>
        <w:rPr>
          <w:rFonts w:asciiTheme="minorHAnsi" w:hAnsiTheme="minorHAnsi" w:cs="ArialMT"/>
          <w:sz w:val="20"/>
          <w:szCs w:val="20"/>
        </w:rPr>
      </w:pPr>
    </w:p>
    <w:p w:rsidR="008F0A19" w:rsidRDefault="008F0A19" w:rsidP="00EC09FB">
      <w:pPr>
        <w:autoSpaceDE w:val="0"/>
        <w:autoSpaceDN w:val="0"/>
        <w:adjustRightInd w:val="0"/>
        <w:spacing w:before="60" w:after="0" w:line="240" w:lineRule="auto"/>
        <w:jc w:val="both"/>
        <w:rPr>
          <w:rFonts w:asciiTheme="minorHAnsi" w:hAnsiTheme="minorHAnsi" w:cs="ArialMT"/>
          <w:sz w:val="20"/>
          <w:szCs w:val="20"/>
        </w:rPr>
      </w:pPr>
    </w:p>
    <w:p w:rsidR="008F0A19" w:rsidRDefault="008F0A19" w:rsidP="00EC09FB">
      <w:pPr>
        <w:autoSpaceDE w:val="0"/>
        <w:autoSpaceDN w:val="0"/>
        <w:adjustRightInd w:val="0"/>
        <w:spacing w:before="60" w:after="0" w:line="240" w:lineRule="auto"/>
        <w:jc w:val="both"/>
        <w:rPr>
          <w:rFonts w:asciiTheme="minorHAnsi" w:hAnsiTheme="minorHAnsi" w:cs="ArialMT"/>
          <w:sz w:val="20"/>
          <w:szCs w:val="20"/>
        </w:rPr>
      </w:pPr>
    </w:p>
    <w:p w:rsidR="008F0A19" w:rsidRDefault="008F0A19" w:rsidP="00EC09FB">
      <w:pPr>
        <w:autoSpaceDE w:val="0"/>
        <w:autoSpaceDN w:val="0"/>
        <w:adjustRightInd w:val="0"/>
        <w:spacing w:before="60" w:after="0" w:line="240" w:lineRule="auto"/>
        <w:jc w:val="both"/>
        <w:rPr>
          <w:rFonts w:asciiTheme="minorHAnsi" w:hAnsiTheme="minorHAnsi" w:cs="ArialMT"/>
          <w:sz w:val="20"/>
          <w:szCs w:val="20"/>
        </w:rPr>
      </w:pPr>
    </w:p>
    <w:p w:rsidR="001E42D7" w:rsidRPr="00EC09FB" w:rsidRDefault="001E42D7" w:rsidP="00EC09FB">
      <w:pPr>
        <w:autoSpaceDE w:val="0"/>
        <w:autoSpaceDN w:val="0"/>
        <w:adjustRightInd w:val="0"/>
        <w:spacing w:before="60" w:after="0" w:line="240" w:lineRule="auto"/>
        <w:jc w:val="both"/>
        <w:rPr>
          <w:rFonts w:asciiTheme="minorHAnsi" w:hAnsiTheme="minorHAnsi" w:cs="ArialMT"/>
          <w:sz w:val="20"/>
          <w:szCs w:val="20"/>
        </w:rPr>
      </w:pPr>
    </w:p>
    <w:p w:rsidR="00EC09FB" w:rsidRPr="00EC09FB" w:rsidRDefault="00EC09FB" w:rsidP="00EC09FB">
      <w:pPr>
        <w:autoSpaceDE w:val="0"/>
        <w:autoSpaceDN w:val="0"/>
        <w:adjustRightInd w:val="0"/>
        <w:spacing w:before="60" w:after="0" w:line="240" w:lineRule="auto"/>
        <w:jc w:val="both"/>
        <w:rPr>
          <w:rFonts w:asciiTheme="minorHAnsi" w:hAnsiTheme="minorHAnsi" w:cs="Arial-BoldMT"/>
          <w:b/>
          <w:bCs/>
          <w:i/>
          <w:sz w:val="20"/>
          <w:szCs w:val="20"/>
          <w:highlight w:val="yellow"/>
        </w:rPr>
      </w:pPr>
      <w:r w:rsidRPr="00EC09FB">
        <w:rPr>
          <w:rFonts w:asciiTheme="minorHAnsi" w:hAnsiTheme="minorHAnsi" w:cs="Arial-BoldMT"/>
          <w:b/>
          <w:bCs/>
          <w:i/>
          <w:sz w:val="20"/>
          <w:szCs w:val="20"/>
          <w:highlight w:val="yellow"/>
        </w:rPr>
        <w:t>A ajouter le cas échéant</w:t>
      </w:r>
      <w:r w:rsidRPr="00EC09FB">
        <w:rPr>
          <w:rFonts w:asciiTheme="minorHAnsi" w:hAnsiTheme="minorHAnsi" w:cs="Arial-BoldMT"/>
          <w:bCs/>
          <w:i/>
          <w:sz w:val="20"/>
          <w:szCs w:val="20"/>
          <w:highlight w:val="yellow"/>
        </w:rPr>
        <w:t xml:space="preserve"> </w:t>
      </w:r>
      <w:r w:rsidRPr="00EC09FB">
        <w:rPr>
          <w:rFonts w:asciiTheme="minorHAnsi" w:hAnsiTheme="minorHAnsi" w:cs="Arial-BoldMT"/>
          <w:b/>
          <w:bCs/>
          <w:i/>
          <w:sz w:val="20"/>
          <w:szCs w:val="20"/>
          <w:highlight w:val="yellow"/>
        </w:rPr>
        <w:t>:</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Compensation en argent ou en épargne Retraite :</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Les jours épargnés peuvent être indemnisés forfaitairement ou versés au titre de la RAFP (pour les fonctionnaires relevant des régimes spéciaux).</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Ces options sont ouvertes pour les jo</w:t>
      </w:r>
      <w:r w:rsidR="007259AD">
        <w:rPr>
          <w:rFonts w:asciiTheme="minorHAnsi" w:hAnsiTheme="minorHAnsi" w:cs="ArialMT"/>
          <w:i/>
          <w:sz w:val="20"/>
          <w:szCs w:val="20"/>
          <w:highlight w:val="yellow"/>
        </w:rPr>
        <w:t>urs inscrits au CET au-delà du 15</w:t>
      </w:r>
      <w:r w:rsidRPr="00EC09FB">
        <w:rPr>
          <w:rFonts w:asciiTheme="minorHAnsi" w:hAnsiTheme="minorHAnsi" w:cs="ArialMT"/>
          <w:i/>
          <w:sz w:val="20"/>
          <w:szCs w:val="20"/>
          <w:highlight w:val="yellow"/>
          <w:vertAlign w:val="superscript"/>
        </w:rPr>
        <w:t>ème</w:t>
      </w:r>
      <w:r w:rsidRPr="00EC09FB">
        <w:rPr>
          <w:rFonts w:asciiTheme="minorHAnsi" w:hAnsiTheme="minorHAnsi" w:cs="ArialMT"/>
          <w:i/>
          <w:sz w:val="20"/>
          <w:szCs w:val="20"/>
          <w:highlight w:val="yellow"/>
        </w:rPr>
        <w:t xml:space="preserve"> jour.</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Le choix de l’option par l’agent doit intervenir au plus tard le 31 janvier de l'année suivante.</w:t>
      </w:r>
    </w:p>
    <w:p w:rsidR="00EC09FB" w:rsidRPr="00EC09FB" w:rsidRDefault="00EC09FB" w:rsidP="00EC09FB">
      <w:pPr>
        <w:autoSpaceDE w:val="0"/>
        <w:autoSpaceDN w:val="0"/>
        <w:adjustRightInd w:val="0"/>
        <w:spacing w:after="0" w:line="240" w:lineRule="auto"/>
        <w:rPr>
          <w:rFonts w:asciiTheme="minorHAnsi" w:hAnsiTheme="minorHAnsi" w:cs="ArialMT"/>
          <w:i/>
          <w:sz w:val="20"/>
          <w:szCs w:val="20"/>
          <w:highlight w:val="yellow"/>
        </w:rPr>
      </w:pPr>
      <w:r w:rsidRPr="00EC09FB">
        <w:rPr>
          <w:rFonts w:asciiTheme="minorHAnsi" w:hAnsiTheme="minorHAnsi" w:cs="ArialMT"/>
          <w:i/>
          <w:sz w:val="20"/>
          <w:szCs w:val="20"/>
          <w:highlight w:val="yellow"/>
        </w:rPr>
        <w:t>Les montants d’indemnisation applicables sont fixés selon la catégorie de l’agent :</w:t>
      </w:r>
    </w:p>
    <w:p w:rsidR="00EC09FB" w:rsidRPr="00EC09FB" w:rsidRDefault="00EC09FB" w:rsidP="00EC09FB">
      <w:pPr>
        <w:pStyle w:val="Paragraphedeliste"/>
        <w:numPr>
          <w:ilvl w:val="0"/>
          <w:numId w:val="19"/>
        </w:numPr>
        <w:autoSpaceDE w:val="0"/>
        <w:autoSpaceDN w:val="0"/>
        <w:adjustRightInd w:val="0"/>
        <w:rPr>
          <w:rFonts w:asciiTheme="minorHAnsi" w:hAnsiTheme="minorHAnsi" w:cs="ArialMT"/>
          <w:i/>
          <w:sz w:val="20"/>
          <w:szCs w:val="20"/>
          <w:highlight w:val="yellow"/>
        </w:rPr>
      </w:pPr>
      <w:r w:rsidRPr="00EC09FB">
        <w:rPr>
          <w:rFonts w:asciiTheme="minorHAnsi" w:hAnsiTheme="minorHAnsi" w:cs="ArialMT"/>
          <w:i/>
          <w:sz w:val="20"/>
          <w:szCs w:val="20"/>
          <w:highlight w:val="yellow"/>
        </w:rPr>
        <w:t xml:space="preserve">Catégorie C : </w:t>
      </w:r>
      <w:r w:rsidR="000774BD">
        <w:rPr>
          <w:rFonts w:asciiTheme="minorHAnsi" w:hAnsiTheme="minorHAnsi" w:cs="ArialMT"/>
          <w:i/>
          <w:sz w:val="20"/>
          <w:szCs w:val="20"/>
          <w:highlight w:val="yellow"/>
        </w:rPr>
        <w:t>83</w:t>
      </w:r>
      <w:r w:rsidRPr="00EC09FB">
        <w:rPr>
          <w:rFonts w:asciiTheme="minorHAnsi" w:hAnsiTheme="minorHAnsi" w:cs="ArialMT"/>
          <w:i/>
          <w:sz w:val="20"/>
          <w:szCs w:val="20"/>
          <w:highlight w:val="yellow"/>
        </w:rPr>
        <w:t xml:space="preserve"> € bruts par jour</w:t>
      </w:r>
    </w:p>
    <w:p w:rsidR="00EC09FB" w:rsidRPr="00EC09FB" w:rsidRDefault="00137ACD" w:rsidP="00EC09FB">
      <w:pPr>
        <w:pStyle w:val="Paragraphedeliste"/>
        <w:numPr>
          <w:ilvl w:val="0"/>
          <w:numId w:val="19"/>
        </w:numPr>
        <w:autoSpaceDE w:val="0"/>
        <w:autoSpaceDN w:val="0"/>
        <w:adjustRightInd w:val="0"/>
        <w:rPr>
          <w:rFonts w:asciiTheme="minorHAnsi" w:hAnsiTheme="minorHAnsi" w:cs="ArialMT"/>
          <w:i/>
          <w:sz w:val="20"/>
          <w:szCs w:val="20"/>
          <w:highlight w:val="yellow"/>
        </w:rPr>
      </w:pPr>
      <w:r>
        <w:rPr>
          <w:rFonts w:asciiTheme="minorHAnsi" w:hAnsiTheme="minorHAnsi" w:cs="ArialMT"/>
          <w:i/>
          <w:sz w:val="20"/>
          <w:szCs w:val="20"/>
          <w:highlight w:val="yellow"/>
        </w:rPr>
        <w:t>Catégorie B : 10</w:t>
      </w:r>
      <w:r w:rsidR="000774BD">
        <w:rPr>
          <w:rFonts w:asciiTheme="minorHAnsi" w:hAnsiTheme="minorHAnsi" w:cs="ArialMT"/>
          <w:i/>
          <w:sz w:val="20"/>
          <w:szCs w:val="20"/>
          <w:highlight w:val="yellow"/>
        </w:rPr>
        <w:t>0</w:t>
      </w:r>
      <w:r w:rsidR="00EC09FB" w:rsidRPr="00EC09FB">
        <w:rPr>
          <w:rFonts w:asciiTheme="minorHAnsi" w:hAnsiTheme="minorHAnsi" w:cs="ArialMT"/>
          <w:i/>
          <w:sz w:val="20"/>
          <w:szCs w:val="20"/>
          <w:highlight w:val="yellow"/>
        </w:rPr>
        <w:t xml:space="preserve"> € bruts par jour</w:t>
      </w:r>
    </w:p>
    <w:p w:rsidR="000774BD" w:rsidRPr="000774BD" w:rsidRDefault="000774BD" w:rsidP="000774BD">
      <w:pPr>
        <w:pStyle w:val="Paragraphedeliste"/>
        <w:numPr>
          <w:ilvl w:val="0"/>
          <w:numId w:val="19"/>
        </w:numPr>
        <w:autoSpaceDE w:val="0"/>
        <w:autoSpaceDN w:val="0"/>
        <w:adjustRightInd w:val="0"/>
        <w:rPr>
          <w:rFonts w:asciiTheme="minorHAnsi" w:hAnsiTheme="minorHAnsi" w:cs="ArialMT"/>
          <w:i/>
          <w:sz w:val="20"/>
          <w:szCs w:val="20"/>
          <w:highlight w:val="yellow"/>
        </w:rPr>
      </w:pPr>
      <w:r>
        <w:rPr>
          <w:rFonts w:asciiTheme="minorHAnsi" w:hAnsiTheme="minorHAnsi" w:cs="ArialMT"/>
          <w:i/>
          <w:sz w:val="20"/>
          <w:szCs w:val="20"/>
          <w:highlight w:val="yellow"/>
        </w:rPr>
        <w:t>Catégorie A : 150</w:t>
      </w:r>
      <w:r w:rsidR="00EC09FB" w:rsidRPr="00EC09FB">
        <w:rPr>
          <w:rFonts w:asciiTheme="minorHAnsi" w:hAnsiTheme="minorHAnsi" w:cs="ArialMT"/>
          <w:i/>
          <w:sz w:val="20"/>
          <w:szCs w:val="20"/>
          <w:highlight w:val="yellow"/>
        </w:rPr>
        <w:t xml:space="preserve"> € bruts par jour.</w:t>
      </w:r>
      <w:r>
        <w:rPr>
          <w:rFonts w:asciiTheme="minorHAnsi" w:hAnsiTheme="minorHAnsi" w:cs="ArialMT"/>
          <w:i/>
          <w:sz w:val="20"/>
          <w:szCs w:val="20"/>
          <w:highlight w:val="yellow"/>
        </w:rPr>
        <w:t xml:space="preserve"> </w:t>
      </w:r>
    </w:p>
    <w:p w:rsidR="001F21B7" w:rsidRDefault="001F21B7" w:rsidP="001F21B7">
      <w:pPr>
        <w:pStyle w:val="Paragraphedeliste"/>
        <w:autoSpaceDE w:val="0"/>
        <w:autoSpaceDN w:val="0"/>
        <w:adjustRightInd w:val="0"/>
        <w:rPr>
          <w:rFonts w:asciiTheme="minorHAnsi" w:hAnsiTheme="minorHAnsi" w:cs="ArialMT"/>
          <w:i/>
          <w:sz w:val="20"/>
          <w:szCs w:val="20"/>
          <w:highlight w:val="yellow"/>
        </w:rPr>
      </w:pPr>
    </w:p>
    <w:p w:rsidR="005B13AE" w:rsidRDefault="005B13AE" w:rsidP="005B13AE">
      <w:pPr>
        <w:pStyle w:val="Paragraphedeliste"/>
        <w:autoSpaceDE w:val="0"/>
        <w:autoSpaceDN w:val="0"/>
        <w:adjustRightInd w:val="0"/>
        <w:ind w:left="0"/>
        <w:rPr>
          <w:rFonts w:asciiTheme="minorHAnsi" w:hAnsiTheme="minorHAnsi" w:cs="ArialMT"/>
          <w:i/>
          <w:sz w:val="20"/>
          <w:szCs w:val="20"/>
          <w:highlight w:val="yellow"/>
        </w:rPr>
      </w:pPr>
      <w:r>
        <w:rPr>
          <w:rFonts w:asciiTheme="minorHAnsi" w:hAnsiTheme="minorHAnsi" w:cs="ArialMT"/>
          <w:i/>
          <w:sz w:val="20"/>
          <w:szCs w:val="20"/>
          <w:highlight w:val="yellow"/>
        </w:rPr>
        <w:t>Ces montants doivent suivre l’évolution réglementaire</w:t>
      </w:r>
      <w:r w:rsidR="00F54D66">
        <w:rPr>
          <w:rFonts w:asciiTheme="minorHAnsi" w:hAnsiTheme="minorHAnsi" w:cs="ArialMT"/>
          <w:i/>
          <w:sz w:val="20"/>
          <w:szCs w:val="20"/>
          <w:highlight w:val="yellow"/>
        </w:rPr>
        <w:t>.</w:t>
      </w:r>
    </w:p>
    <w:p w:rsidR="001F21B7" w:rsidRDefault="001F21B7" w:rsidP="001F21B7">
      <w:pPr>
        <w:pStyle w:val="Paragraphedeliste"/>
        <w:autoSpaceDE w:val="0"/>
        <w:autoSpaceDN w:val="0"/>
        <w:adjustRightInd w:val="0"/>
        <w:rPr>
          <w:rFonts w:asciiTheme="minorHAnsi" w:hAnsiTheme="minorHAnsi" w:cs="ArialMT"/>
          <w:i/>
          <w:sz w:val="20"/>
          <w:szCs w:val="20"/>
          <w:highlight w:val="yellow"/>
        </w:rPr>
      </w:pPr>
    </w:p>
    <w:p w:rsidR="001F21B7" w:rsidRPr="00EC09FB" w:rsidRDefault="001F21B7" w:rsidP="001F21B7">
      <w:pPr>
        <w:pStyle w:val="Paragraphedeliste"/>
        <w:autoSpaceDE w:val="0"/>
        <w:autoSpaceDN w:val="0"/>
        <w:adjustRightInd w:val="0"/>
        <w:rPr>
          <w:rFonts w:asciiTheme="minorHAnsi" w:hAnsiTheme="minorHAnsi" w:cs="ArialMT"/>
          <w:i/>
          <w:sz w:val="20"/>
          <w:szCs w:val="20"/>
          <w:highlight w:val="yellow"/>
        </w:rPr>
      </w:pPr>
    </w:p>
    <w:p w:rsidR="00EC09FB" w:rsidRPr="00EC09FB"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EC09FB">
        <w:rPr>
          <w:rFonts w:asciiTheme="minorHAnsi" w:hAnsiTheme="minorHAnsi" w:cs="ArialMT"/>
          <w:b/>
          <w:sz w:val="22"/>
          <w:szCs w:val="20"/>
        </w:rPr>
        <w:t>Conservation des droits en cas de départ :</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L’agent conserve ses droits en cas de changement de collectivité ou d’établissement par voie de mutation ou de détachement dans la fonction publique territoriale. C’est alors la collectivité d’accueil qui assurera la gestion du compte.</w:t>
      </w:r>
    </w:p>
    <w:p w:rsidR="00EC09FB" w:rsidRPr="00EC09FB" w:rsidRDefault="00EC09FB" w:rsidP="00EC09FB">
      <w:pPr>
        <w:autoSpaceDE w:val="0"/>
        <w:autoSpaceDN w:val="0"/>
        <w:adjustRightInd w:val="0"/>
        <w:spacing w:before="60" w:after="0" w:line="240" w:lineRule="auto"/>
        <w:rPr>
          <w:rFonts w:asciiTheme="minorHAnsi" w:hAnsiTheme="minorHAnsi" w:cs="Arial-BoldMT"/>
          <w:b/>
          <w:bCs/>
          <w:i/>
          <w:sz w:val="20"/>
          <w:szCs w:val="20"/>
          <w:highlight w:val="yellow"/>
        </w:rPr>
      </w:pPr>
      <w:r w:rsidRPr="00EC09FB">
        <w:rPr>
          <w:rFonts w:asciiTheme="minorHAnsi" w:hAnsiTheme="minorHAnsi" w:cs="Arial-BoldMT"/>
          <w:b/>
          <w:bCs/>
          <w:i/>
          <w:sz w:val="20"/>
          <w:szCs w:val="20"/>
          <w:highlight w:val="yellow"/>
        </w:rPr>
        <w:t>A ajouter le cas échéant :</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rPr>
      </w:pPr>
      <w:r w:rsidRPr="00EC09FB">
        <w:rPr>
          <w:rFonts w:asciiTheme="minorHAnsi" w:hAnsiTheme="minorHAnsi" w:cs="ArialMT"/>
          <w:i/>
          <w:sz w:val="20"/>
          <w:szCs w:val="20"/>
          <w:highlight w:val="yellow"/>
        </w:rPr>
        <w:t>Une convention peut prévoir des modalités financières de transfert des droits à congés accumulés : L'autorité territoriale est autorisée à fixer, par convention signée entre les deux employeurs, les modalités financières de transfert des droits accumulés par un agent dans la limite de …....... (</w:t>
      </w:r>
      <w:proofErr w:type="gramStart"/>
      <w:r w:rsidRPr="00EC09FB">
        <w:rPr>
          <w:rFonts w:asciiTheme="minorHAnsi" w:hAnsiTheme="minorHAnsi" w:cs="ArialMT"/>
          <w:i/>
          <w:sz w:val="20"/>
          <w:szCs w:val="20"/>
          <w:highlight w:val="yellow"/>
        </w:rPr>
        <w:t>à</w:t>
      </w:r>
      <w:proofErr w:type="gramEnd"/>
      <w:r w:rsidRPr="00EC09FB">
        <w:rPr>
          <w:rFonts w:asciiTheme="minorHAnsi" w:hAnsiTheme="minorHAnsi" w:cs="ArialMT"/>
          <w:i/>
          <w:sz w:val="20"/>
          <w:szCs w:val="20"/>
          <w:highlight w:val="yellow"/>
        </w:rPr>
        <w:t xml:space="preserve"> fixer).</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Dans le cas de mise à disposition auprès d’une organisation syndicale, c’est la collectivité ou établissement d’affectation qui assure la gestion du compte.</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Dans le cas de disponibilité, d’accomplissement du service national et des activités dans une réserve, de congé parental, de mise à disposition, l’agent conserve ses droits mais ne peut les utiliser sauf autorisation de l’administration de gestion et en cas de mise à disposition de l’administration d’emploi.</w:t>
      </w:r>
    </w:p>
    <w:p w:rsidR="00EC09FB" w:rsidRPr="00EC09FB" w:rsidRDefault="00EC09FB" w:rsidP="00EC09FB">
      <w:pPr>
        <w:autoSpaceDE w:val="0"/>
        <w:autoSpaceDN w:val="0"/>
        <w:adjustRightInd w:val="0"/>
        <w:spacing w:before="60" w:after="0" w:line="240" w:lineRule="auto"/>
        <w:rPr>
          <w:rFonts w:asciiTheme="minorHAnsi" w:hAnsiTheme="minorHAnsi" w:cs="ArialMT"/>
          <w:sz w:val="20"/>
          <w:szCs w:val="20"/>
        </w:rPr>
      </w:pPr>
      <w:r w:rsidRPr="00EC09FB">
        <w:rPr>
          <w:rFonts w:asciiTheme="minorHAnsi" w:hAnsiTheme="minorHAnsi" w:cs="ArialMT"/>
          <w:sz w:val="20"/>
          <w:szCs w:val="20"/>
        </w:rPr>
        <w:t>En cas de détachement dans une autre fonction publique, l’agent conserve ses droits mais ne peut les utiliser, sauf autorisation de l’administration de gestion et en cas de détachement de l’administration d’emploi.</w:t>
      </w:r>
    </w:p>
    <w:p w:rsidR="00EC09FB" w:rsidRPr="00EC09FB" w:rsidRDefault="00EC09FB" w:rsidP="00EC09FB">
      <w:pPr>
        <w:autoSpaceDE w:val="0"/>
        <w:autoSpaceDN w:val="0"/>
        <w:adjustRightInd w:val="0"/>
        <w:spacing w:after="0" w:line="240" w:lineRule="auto"/>
        <w:rPr>
          <w:rFonts w:asciiTheme="minorHAnsi" w:hAnsiTheme="minorHAnsi" w:cs="ArialMT"/>
          <w:sz w:val="20"/>
          <w:szCs w:val="20"/>
        </w:rPr>
      </w:pPr>
    </w:p>
    <w:p w:rsidR="00EC09FB" w:rsidRPr="001F21B7"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1F21B7">
        <w:rPr>
          <w:rFonts w:asciiTheme="minorHAnsi" w:hAnsiTheme="minorHAnsi" w:cs="ArialMT"/>
          <w:b/>
          <w:sz w:val="22"/>
          <w:szCs w:val="20"/>
        </w:rPr>
        <w:t>Clôture du CET :</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 compte est clôturé à la date de cessation définitive d’activité dans la fonction publique territoriale. Les jours épargnés sur le compte doivent ainsi être soldés avant cette date.</w:t>
      </w:r>
    </w:p>
    <w:p w:rsidR="00EC09FB" w:rsidRPr="00EC09FB" w:rsidRDefault="00EC09FB" w:rsidP="00EC09FB">
      <w:pPr>
        <w:autoSpaceDE w:val="0"/>
        <w:autoSpaceDN w:val="0"/>
        <w:adjustRightInd w:val="0"/>
        <w:spacing w:before="60" w:after="0" w:line="240" w:lineRule="auto"/>
        <w:rPr>
          <w:rFonts w:asciiTheme="minorHAnsi" w:hAnsiTheme="minorHAnsi" w:cs="ArialMT"/>
          <w:sz w:val="20"/>
          <w:szCs w:val="20"/>
        </w:rPr>
      </w:pPr>
      <w:r w:rsidRPr="00EC09FB">
        <w:rPr>
          <w:rFonts w:asciiTheme="minorHAnsi" w:hAnsiTheme="minorHAnsi" w:cs="ArialMT"/>
          <w:sz w:val="20"/>
          <w:szCs w:val="20"/>
        </w:rPr>
        <w:t>En cas de décès de l’agent, et seulement dans ce cas, les droits acquis au titre du CET donnent lieu à une indemnisation de ses ayants droit. Les montants sont fixés selon la catégorie de l’agent :</w:t>
      </w:r>
    </w:p>
    <w:p w:rsidR="0069722C" w:rsidRPr="0069722C" w:rsidRDefault="0069722C" w:rsidP="0069722C">
      <w:pPr>
        <w:pStyle w:val="Paragraphedeliste"/>
        <w:numPr>
          <w:ilvl w:val="0"/>
          <w:numId w:val="19"/>
        </w:numPr>
        <w:autoSpaceDE w:val="0"/>
        <w:autoSpaceDN w:val="0"/>
        <w:adjustRightInd w:val="0"/>
        <w:rPr>
          <w:rFonts w:asciiTheme="minorHAnsi" w:hAnsiTheme="minorHAnsi" w:cs="ArialMT"/>
          <w:i/>
          <w:sz w:val="20"/>
          <w:szCs w:val="20"/>
        </w:rPr>
      </w:pPr>
      <w:r w:rsidRPr="0069722C">
        <w:rPr>
          <w:rFonts w:asciiTheme="minorHAnsi" w:hAnsiTheme="minorHAnsi" w:cs="ArialMT"/>
          <w:i/>
          <w:sz w:val="20"/>
          <w:szCs w:val="20"/>
        </w:rPr>
        <w:t>Catégorie C : 83 € bruts par jour</w:t>
      </w:r>
    </w:p>
    <w:p w:rsidR="0069722C" w:rsidRPr="0069722C" w:rsidRDefault="00137ACD" w:rsidP="0069722C">
      <w:pPr>
        <w:pStyle w:val="Paragraphedeliste"/>
        <w:numPr>
          <w:ilvl w:val="0"/>
          <w:numId w:val="19"/>
        </w:numPr>
        <w:autoSpaceDE w:val="0"/>
        <w:autoSpaceDN w:val="0"/>
        <w:adjustRightInd w:val="0"/>
        <w:rPr>
          <w:rFonts w:asciiTheme="minorHAnsi" w:hAnsiTheme="minorHAnsi" w:cs="ArialMT"/>
          <w:i/>
          <w:sz w:val="20"/>
          <w:szCs w:val="20"/>
        </w:rPr>
      </w:pPr>
      <w:r>
        <w:rPr>
          <w:rFonts w:asciiTheme="minorHAnsi" w:hAnsiTheme="minorHAnsi" w:cs="ArialMT"/>
          <w:i/>
          <w:sz w:val="20"/>
          <w:szCs w:val="20"/>
        </w:rPr>
        <w:t>Catégorie B : 10</w:t>
      </w:r>
      <w:r w:rsidR="0069722C" w:rsidRPr="0069722C">
        <w:rPr>
          <w:rFonts w:asciiTheme="minorHAnsi" w:hAnsiTheme="minorHAnsi" w:cs="ArialMT"/>
          <w:i/>
          <w:sz w:val="20"/>
          <w:szCs w:val="20"/>
        </w:rPr>
        <w:t>0 € bruts par jour</w:t>
      </w:r>
    </w:p>
    <w:p w:rsidR="0069722C" w:rsidRDefault="0069722C" w:rsidP="0069722C">
      <w:pPr>
        <w:pStyle w:val="Paragraphedeliste"/>
        <w:numPr>
          <w:ilvl w:val="0"/>
          <w:numId w:val="19"/>
        </w:numPr>
        <w:autoSpaceDE w:val="0"/>
        <w:autoSpaceDN w:val="0"/>
        <w:adjustRightInd w:val="0"/>
        <w:rPr>
          <w:rFonts w:asciiTheme="minorHAnsi" w:hAnsiTheme="minorHAnsi" w:cs="ArialMT"/>
          <w:i/>
          <w:sz w:val="20"/>
          <w:szCs w:val="20"/>
        </w:rPr>
      </w:pPr>
      <w:r w:rsidRPr="0069722C">
        <w:rPr>
          <w:rFonts w:asciiTheme="minorHAnsi" w:hAnsiTheme="minorHAnsi" w:cs="ArialMT"/>
          <w:i/>
          <w:sz w:val="20"/>
          <w:szCs w:val="20"/>
        </w:rPr>
        <w:t xml:space="preserve">Catégorie A : 150 € bruts par jour. </w:t>
      </w:r>
    </w:p>
    <w:p w:rsidR="00F54D66" w:rsidRDefault="00F54D66" w:rsidP="00F54D66">
      <w:pPr>
        <w:pStyle w:val="Paragraphedeliste"/>
        <w:autoSpaceDE w:val="0"/>
        <w:autoSpaceDN w:val="0"/>
        <w:adjustRightInd w:val="0"/>
        <w:ind w:left="0"/>
        <w:rPr>
          <w:rFonts w:asciiTheme="minorHAnsi" w:hAnsiTheme="minorHAnsi" w:cs="ArialMT"/>
          <w:i/>
          <w:sz w:val="20"/>
          <w:szCs w:val="20"/>
        </w:rPr>
      </w:pPr>
    </w:p>
    <w:p w:rsidR="0069722C" w:rsidRPr="0069722C" w:rsidRDefault="0069722C" w:rsidP="00F54D66">
      <w:pPr>
        <w:pStyle w:val="Paragraphedeliste"/>
        <w:autoSpaceDE w:val="0"/>
        <w:autoSpaceDN w:val="0"/>
        <w:adjustRightInd w:val="0"/>
        <w:ind w:left="0"/>
        <w:rPr>
          <w:rFonts w:asciiTheme="minorHAnsi" w:hAnsiTheme="minorHAnsi" w:cs="ArialMT"/>
          <w:i/>
          <w:sz w:val="20"/>
          <w:szCs w:val="20"/>
        </w:rPr>
      </w:pPr>
      <w:r w:rsidRPr="00F54D66">
        <w:rPr>
          <w:rFonts w:asciiTheme="minorHAnsi" w:hAnsiTheme="minorHAnsi" w:cs="ArialMT"/>
          <w:i/>
          <w:sz w:val="20"/>
          <w:szCs w:val="20"/>
        </w:rPr>
        <w:t>Ces montants doivent suivre l’évolution réglementaire</w:t>
      </w:r>
      <w:r w:rsidR="00F54D66">
        <w:rPr>
          <w:rFonts w:asciiTheme="minorHAnsi" w:hAnsiTheme="minorHAnsi" w:cs="ArialMT"/>
          <w:i/>
          <w:sz w:val="20"/>
          <w:szCs w:val="20"/>
        </w:rPr>
        <w:t>.</w:t>
      </w:r>
    </w:p>
    <w:p w:rsidR="00EC09FB" w:rsidRPr="00EC09FB" w:rsidRDefault="00EC09FB" w:rsidP="0069722C">
      <w:pPr>
        <w:tabs>
          <w:tab w:val="left" w:pos="426"/>
        </w:tabs>
        <w:autoSpaceDE w:val="0"/>
        <w:autoSpaceDN w:val="0"/>
        <w:adjustRightInd w:val="0"/>
        <w:spacing w:after="0" w:line="240" w:lineRule="auto"/>
        <w:rPr>
          <w:rFonts w:asciiTheme="minorHAnsi" w:hAnsiTheme="minorHAnsi" w:cs="ArialMT"/>
          <w:sz w:val="20"/>
          <w:szCs w:val="20"/>
        </w:rPr>
      </w:pPr>
    </w:p>
    <w:p w:rsidR="00654A12" w:rsidRPr="001F21B7" w:rsidRDefault="00DB7F35"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1F21B7">
        <w:rPr>
          <w:rFonts w:asciiTheme="minorHAnsi" w:hAnsiTheme="minorHAnsi" w:cs="ArialMT"/>
          <w:b/>
          <w:sz w:val="22"/>
          <w:szCs w:val="20"/>
        </w:rPr>
        <w:t>Date d’effet</w:t>
      </w:r>
      <w:r w:rsidR="00654A12" w:rsidRPr="001F21B7">
        <w:rPr>
          <w:rFonts w:asciiTheme="minorHAnsi" w:hAnsiTheme="minorHAnsi" w:cs="ArialMT"/>
          <w:b/>
          <w:sz w:val="22"/>
          <w:szCs w:val="20"/>
        </w:rPr>
        <w:t xml:space="preserve"> : </w:t>
      </w:r>
      <w:r w:rsidR="00654A12" w:rsidRPr="001F21B7">
        <w:rPr>
          <w:rFonts w:asciiTheme="minorHAnsi" w:hAnsiTheme="minorHAnsi" w:cs="ArialMT"/>
          <w:sz w:val="22"/>
          <w:szCs w:val="20"/>
        </w:rPr>
        <w:t xml:space="preserve">A compter du </w:t>
      </w:r>
      <w:proofErr w:type="gramStart"/>
      <w:r w:rsidR="00654A12" w:rsidRPr="001F21B7">
        <w:rPr>
          <w:rFonts w:asciiTheme="minorHAnsi" w:hAnsiTheme="minorHAnsi" w:cs="ArialMT"/>
          <w:sz w:val="22"/>
          <w:szCs w:val="20"/>
        </w:rPr>
        <w:t>…….</w:t>
      </w:r>
      <w:proofErr w:type="gramEnd"/>
      <w:r w:rsidR="00654A12" w:rsidRPr="001F21B7">
        <w:rPr>
          <w:rFonts w:asciiTheme="minorHAnsi" w:hAnsiTheme="minorHAnsi" w:cs="ArialMT"/>
          <w:sz w:val="22"/>
          <w:szCs w:val="20"/>
        </w:rPr>
        <w:t>.…./…………./20………..</w:t>
      </w:r>
      <w:r w:rsidR="00654A12" w:rsidRPr="001F21B7">
        <w:rPr>
          <w:rFonts w:asciiTheme="minorHAnsi" w:hAnsiTheme="minorHAnsi" w:cs="ArialMT"/>
          <w:b/>
          <w:sz w:val="22"/>
          <w:szCs w:val="20"/>
        </w:rPr>
        <w:t xml:space="preserve"> (</w:t>
      </w:r>
      <w:r w:rsidR="00654A12" w:rsidRPr="001F21B7">
        <w:rPr>
          <w:rFonts w:asciiTheme="minorHAnsi" w:hAnsiTheme="minorHAnsi" w:cs="ArialMT"/>
          <w:b/>
          <w:sz w:val="20"/>
          <w:szCs w:val="20"/>
        </w:rPr>
        <w:t>APRES avis du C</w:t>
      </w:r>
      <w:r w:rsidR="00672D5A">
        <w:rPr>
          <w:rFonts w:asciiTheme="minorHAnsi" w:hAnsiTheme="minorHAnsi" w:cs="ArialMT"/>
          <w:b/>
          <w:sz w:val="20"/>
          <w:szCs w:val="20"/>
        </w:rPr>
        <w:t>S</w:t>
      </w:r>
      <w:r w:rsidR="00654A12" w:rsidRPr="001F21B7">
        <w:rPr>
          <w:rFonts w:asciiTheme="minorHAnsi" w:hAnsiTheme="minorHAnsi" w:cs="ArialMT"/>
          <w:b/>
          <w:sz w:val="20"/>
          <w:szCs w:val="20"/>
        </w:rPr>
        <w:t>T et délibération</w:t>
      </w:r>
      <w:r w:rsidR="00654A12" w:rsidRPr="001F21B7">
        <w:rPr>
          <w:rFonts w:asciiTheme="minorHAnsi" w:hAnsiTheme="minorHAnsi" w:cs="ArialMT"/>
          <w:b/>
          <w:sz w:val="22"/>
          <w:szCs w:val="20"/>
        </w:rPr>
        <w:t>)</w:t>
      </w:r>
    </w:p>
    <w:p w:rsidR="002665DA" w:rsidRPr="004F2635" w:rsidRDefault="002665DA" w:rsidP="00654A12">
      <w:pPr>
        <w:spacing w:before="120" w:after="0"/>
        <w:rPr>
          <w:b/>
          <w:sz w:val="20"/>
          <w:szCs w:val="20"/>
        </w:rPr>
      </w:pPr>
    </w:p>
    <w:p w:rsidR="00654A12" w:rsidRPr="00B65698" w:rsidRDefault="00654A12" w:rsidP="00654A12">
      <w:pPr>
        <w:pStyle w:val="Default"/>
        <w:rPr>
          <w:rFonts w:ascii="Calibri" w:hAnsi="Calibri"/>
          <w:b/>
          <w:sz w:val="18"/>
          <w:szCs w:val="22"/>
          <w:u w:val="single"/>
        </w:rPr>
      </w:pPr>
    </w:p>
    <w:p w:rsidR="00654A12" w:rsidRPr="001F0A8F" w:rsidRDefault="00654A12" w:rsidP="00654A12">
      <w:pPr>
        <w:pStyle w:val="Default"/>
        <w:ind w:left="4536"/>
        <w:rPr>
          <w:rFonts w:ascii="Calibri" w:hAnsi="Calibri"/>
          <w:sz w:val="22"/>
          <w:szCs w:val="22"/>
        </w:rPr>
      </w:pPr>
      <w:r>
        <w:rPr>
          <w:rFonts w:ascii="Calibri" w:hAnsi="Calibri"/>
          <w:sz w:val="22"/>
          <w:szCs w:val="22"/>
        </w:rPr>
        <w:t>Fait à …………………………………… le</w:t>
      </w:r>
      <w:r w:rsidRPr="001F0A8F">
        <w:rPr>
          <w:rFonts w:ascii="Calibri" w:hAnsi="Calibri"/>
          <w:sz w:val="22"/>
          <w:szCs w:val="22"/>
        </w:rPr>
        <w:t xml:space="preserve">………………………… </w:t>
      </w:r>
    </w:p>
    <w:p w:rsidR="00654A12" w:rsidRPr="009B1CA4" w:rsidRDefault="00654A12" w:rsidP="00654A12">
      <w:pPr>
        <w:pStyle w:val="Default"/>
        <w:ind w:left="4536"/>
        <w:rPr>
          <w:rFonts w:ascii="Calibri" w:hAnsi="Calibri"/>
          <w:color w:val="BFBFBF" w:themeColor="background1" w:themeShade="BF"/>
          <w:sz w:val="22"/>
          <w:szCs w:val="22"/>
        </w:rPr>
      </w:pPr>
      <w:r w:rsidRPr="009B1CA4">
        <w:rPr>
          <w:rFonts w:ascii="Calibri" w:hAnsi="Calibri"/>
          <w:color w:val="BFBFBF" w:themeColor="background1" w:themeShade="BF"/>
          <w:sz w:val="22"/>
          <w:szCs w:val="22"/>
        </w:rPr>
        <w:t xml:space="preserve">Cachet et Signature de l’autorité territoriale </w:t>
      </w:r>
    </w:p>
    <w:p w:rsidR="00654A12" w:rsidRDefault="00654A12" w:rsidP="00654A12">
      <w:pPr>
        <w:pStyle w:val="Default"/>
        <w:ind w:left="4536"/>
        <w:rPr>
          <w:rFonts w:ascii="Calibri" w:hAnsi="Calibri"/>
          <w:sz w:val="22"/>
          <w:szCs w:val="22"/>
        </w:rPr>
      </w:pPr>
    </w:p>
    <w:p w:rsidR="004F2635" w:rsidRDefault="004F2635" w:rsidP="00654A12">
      <w:pPr>
        <w:pStyle w:val="Default"/>
        <w:ind w:left="4536"/>
        <w:rPr>
          <w:rFonts w:ascii="Calibri" w:hAnsi="Calibri"/>
          <w:sz w:val="22"/>
          <w:szCs w:val="22"/>
        </w:rPr>
      </w:pPr>
    </w:p>
    <w:p w:rsidR="00654A12" w:rsidRDefault="00654A12" w:rsidP="00654A12">
      <w:pPr>
        <w:pStyle w:val="Default"/>
        <w:ind w:left="4536"/>
        <w:rPr>
          <w:rFonts w:ascii="Calibri" w:hAnsi="Calibri"/>
          <w:sz w:val="22"/>
          <w:szCs w:val="22"/>
        </w:rPr>
      </w:pPr>
    </w:p>
    <w:p w:rsidR="001F21B7" w:rsidRDefault="001F21B7" w:rsidP="00654A12">
      <w:pPr>
        <w:pStyle w:val="Default"/>
        <w:ind w:left="4536"/>
        <w:rPr>
          <w:rFonts w:ascii="Calibri" w:hAnsi="Calibri"/>
          <w:sz w:val="22"/>
          <w:szCs w:val="22"/>
        </w:rPr>
      </w:pPr>
    </w:p>
    <w:p w:rsidR="00654A12" w:rsidRDefault="00654A12" w:rsidP="00654A12">
      <w:pPr>
        <w:pStyle w:val="Default"/>
        <w:jc w:val="center"/>
        <w:rPr>
          <w:rFonts w:ascii="Calibri" w:hAnsi="Calibri"/>
          <w:b/>
        </w:rPr>
      </w:pPr>
    </w:p>
    <w:sectPr w:rsidR="00654A12" w:rsidSect="003831A8">
      <w:headerReference w:type="default" r:id="rId9"/>
      <w:pgSz w:w="11906" w:h="16838"/>
      <w:pgMar w:top="1107" w:right="1417" w:bottom="567" w:left="1417" w:header="426"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6F" w:rsidRDefault="0022096F" w:rsidP="0022096F">
      <w:pPr>
        <w:spacing w:after="0" w:line="240" w:lineRule="auto"/>
      </w:pPr>
      <w:r>
        <w:separator/>
      </w:r>
    </w:p>
  </w:endnote>
  <w:endnote w:type="continuationSeparator" w:id="0">
    <w:p w:rsidR="0022096F" w:rsidRDefault="0022096F" w:rsidP="0022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6F" w:rsidRDefault="0022096F" w:rsidP="0022096F">
      <w:pPr>
        <w:spacing w:after="0" w:line="240" w:lineRule="auto"/>
      </w:pPr>
      <w:r>
        <w:separator/>
      </w:r>
    </w:p>
  </w:footnote>
  <w:footnote w:type="continuationSeparator" w:id="0">
    <w:p w:rsidR="0022096F" w:rsidRDefault="0022096F" w:rsidP="0022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43" w:rsidRDefault="008C4D95" w:rsidP="001E5AD3">
    <w:pPr>
      <w:pStyle w:val="En-tte"/>
      <w:pBdr>
        <w:bottom w:val="thickThinSmallGap" w:sz="24" w:space="1" w:color="622423" w:themeColor="accent2" w:themeShade="7F"/>
      </w:pBdr>
      <w:jc w:val="center"/>
      <w:rPr>
        <w:rFonts w:asciiTheme="minorHAnsi" w:hAnsiTheme="minorHAnsi" w:cs="Arial"/>
        <w:sz w:val="20"/>
        <w:szCs w:val="20"/>
        <w:lang w:eastAsia="fr-FR"/>
      </w:rPr>
    </w:pPr>
    <w:r>
      <w:rPr>
        <w:rFonts w:asciiTheme="minorHAnsi" w:hAnsiTheme="minorHAnsi" w:cs="Arial"/>
        <w:sz w:val="20"/>
        <w:szCs w:val="20"/>
        <w:lang w:eastAsia="fr-FR"/>
      </w:rPr>
      <w:tab/>
    </w:r>
    <w:sdt>
      <w:sdtPr>
        <w:rPr>
          <w:rFonts w:eastAsiaTheme="minorHAnsi" w:cs="Calibri"/>
          <w:color w:val="808080"/>
          <w:sz w:val="16"/>
          <w:szCs w:val="16"/>
          <w:lang w:eastAsia="fr-FR"/>
        </w:rPr>
        <w:alias w:val="Titre"/>
        <w:id w:val="77738743"/>
        <w:placeholder>
          <w:docPart w:val="3A831D99E9F44E73B1E5D1BA0F93F054"/>
        </w:placeholder>
        <w:dataBinding w:prefixMappings="xmlns:ns0='http://schemas.openxmlformats.org/package/2006/metadata/core-properties' xmlns:ns1='http://purl.org/dc/elements/1.1/'" w:xpath="/ns0:coreProperties[1]/ns1:title[1]" w:storeItemID="{6C3C8BC8-F283-45AE-878A-BAB7291924A1}"/>
        <w:text/>
      </w:sdtPr>
      <w:sdtEndPr/>
      <w:sdtContent>
        <w:r w:rsidRPr="001E5AD3">
          <w:rPr>
            <w:rFonts w:eastAsiaTheme="minorHAnsi" w:cs="Calibri"/>
            <w:color w:val="808080"/>
            <w:sz w:val="16"/>
            <w:szCs w:val="16"/>
            <w:lang w:eastAsia="fr-FR"/>
          </w:rPr>
          <w:t xml:space="preserve">CDG79 / Expertise RH / expertise-rh@cdg79.fr / MAJ </w:t>
        </w:r>
        <w:r w:rsidR="00B259BD">
          <w:rPr>
            <w:rFonts w:eastAsiaTheme="minorHAnsi" w:cs="Calibri"/>
            <w:color w:val="808080"/>
            <w:sz w:val="16"/>
            <w:szCs w:val="16"/>
            <w:lang w:eastAsia="fr-FR"/>
          </w:rPr>
          <w:t>19</w:t>
        </w:r>
        <w:r w:rsidR="00C266E2">
          <w:rPr>
            <w:rFonts w:eastAsiaTheme="minorHAnsi" w:cs="Calibri"/>
            <w:color w:val="808080"/>
            <w:sz w:val="16"/>
            <w:szCs w:val="16"/>
            <w:lang w:eastAsia="fr-FR"/>
          </w:rPr>
          <w:t>/</w:t>
        </w:r>
        <w:r w:rsidR="0038321E">
          <w:rPr>
            <w:rFonts w:eastAsiaTheme="minorHAnsi" w:cs="Calibri"/>
            <w:color w:val="808080"/>
            <w:sz w:val="16"/>
            <w:szCs w:val="16"/>
            <w:lang w:eastAsia="fr-FR"/>
          </w:rPr>
          <w:t>0</w:t>
        </w:r>
        <w:r w:rsidR="00B259BD">
          <w:rPr>
            <w:rFonts w:eastAsiaTheme="minorHAnsi" w:cs="Calibri"/>
            <w:color w:val="808080"/>
            <w:sz w:val="16"/>
            <w:szCs w:val="16"/>
            <w:lang w:eastAsia="fr-FR"/>
          </w:rPr>
          <w:t>6</w:t>
        </w:r>
        <w:r w:rsidRPr="001E5AD3">
          <w:rPr>
            <w:rFonts w:eastAsiaTheme="minorHAnsi" w:cs="Calibri"/>
            <w:color w:val="808080"/>
            <w:sz w:val="16"/>
            <w:szCs w:val="16"/>
            <w:lang w:eastAsia="fr-FR"/>
          </w:rPr>
          <w:t>/202</w:t>
        </w:r>
        <w:r w:rsidR="00E4436C">
          <w:rPr>
            <w:rFonts w:eastAsiaTheme="minorHAnsi" w:cs="Calibri"/>
            <w:color w:val="808080"/>
            <w:sz w:val="16"/>
            <w:szCs w:val="16"/>
            <w:lang w:eastAsia="fr-FR"/>
          </w:rPr>
          <w:t>5</w:t>
        </w:r>
      </w:sdtContent>
    </w:sdt>
    <w:r>
      <w:rPr>
        <w:rFonts w:asciiTheme="minorHAnsi" w:hAnsiTheme="minorHAnsi" w:cs="Arial"/>
        <w:sz w:val="20"/>
        <w:szCs w:val="20"/>
        <w:lang w:eastAsia="fr-FR"/>
      </w:rPr>
      <w:tab/>
    </w:r>
  </w:p>
  <w:p w:rsidR="008C4D95" w:rsidRPr="00CE6C3C" w:rsidRDefault="008C4D95" w:rsidP="008C4D95">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 xml:space="preserve">Tél : 05 49 06 31 44 (Secteur Sud : Territoires </w:t>
    </w:r>
    <w:proofErr w:type="spellStart"/>
    <w:r w:rsidRPr="00CE6C3C">
      <w:rPr>
        <w:rFonts w:eastAsiaTheme="minorHAnsi" w:cs="Calibri"/>
        <w:i/>
        <w:color w:val="808080"/>
        <w:sz w:val="14"/>
        <w:lang w:eastAsia="fr-FR"/>
      </w:rPr>
      <w:t>Mellois</w:t>
    </w:r>
    <w:proofErr w:type="spellEnd"/>
    <w:r w:rsidRPr="00CE6C3C">
      <w:rPr>
        <w:rFonts w:eastAsiaTheme="minorHAnsi" w:cs="Calibri"/>
        <w:i/>
        <w:color w:val="808080"/>
        <w:sz w:val="14"/>
        <w:lang w:eastAsia="fr-FR"/>
      </w:rPr>
      <w:t xml:space="preserve"> en Poitou et Niortais)</w:t>
    </w:r>
  </w:p>
  <w:p w:rsidR="008C4D95" w:rsidRPr="00CE6C3C" w:rsidRDefault="008C4D95" w:rsidP="008C4D95">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45 (Secteur Centre : Territoires Parthenay-Gâtine, Val de Gâtine et Haut val de Sèvre)</w:t>
    </w:r>
  </w:p>
  <w:p w:rsidR="008C4D95" w:rsidRDefault="008C4D95" w:rsidP="008C4D95">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46 (Secteur Nord : Territoires Bocage Bressuirais, Thouarsais, Airvaudais Val du Thouet</w:t>
    </w:r>
    <w:r w:rsidR="001E5AD3">
      <w:rPr>
        <w:rFonts w:eastAsiaTheme="minorHAnsi" w:cs="Calibri"/>
        <w:i/>
        <w:color w:val="808080"/>
        <w:sz w:val="14"/>
        <w:lang w:eastAsia="fr-FR"/>
      </w:rPr>
      <w:t>)</w:t>
    </w:r>
  </w:p>
  <w:p w:rsidR="00BB73B4" w:rsidRDefault="00BB73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0pt;height:90pt" o:bullet="t">
        <v:imagedata r:id="rId1" o:title="Livre"/>
      </v:shape>
    </w:pict>
  </w:numPicBullet>
  <w:abstractNum w:abstractNumId="0" w15:restartNumberingAfterBreak="0">
    <w:nsid w:val="00E33F2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459EA"/>
    <w:multiLevelType w:val="hybridMultilevel"/>
    <w:tmpl w:val="20D626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8D3E83"/>
    <w:multiLevelType w:val="hybridMultilevel"/>
    <w:tmpl w:val="AD809FF0"/>
    <w:lvl w:ilvl="0" w:tplc="F60241E0">
      <w:start w:val="1"/>
      <w:numFmt w:val="decimal"/>
      <w:lvlText w:val="(%1)"/>
      <w:lvlJc w:val="left"/>
      <w:pPr>
        <w:ind w:left="674" w:hanging="360"/>
      </w:pPr>
      <w:rPr>
        <w:rFonts w:hint="default"/>
      </w:rPr>
    </w:lvl>
    <w:lvl w:ilvl="1" w:tplc="040C0019" w:tentative="1">
      <w:start w:val="1"/>
      <w:numFmt w:val="lowerLetter"/>
      <w:lvlText w:val="%2."/>
      <w:lvlJc w:val="left"/>
      <w:pPr>
        <w:ind w:left="1394" w:hanging="360"/>
      </w:pPr>
    </w:lvl>
    <w:lvl w:ilvl="2" w:tplc="040C001B" w:tentative="1">
      <w:start w:val="1"/>
      <w:numFmt w:val="lowerRoman"/>
      <w:lvlText w:val="%3."/>
      <w:lvlJc w:val="right"/>
      <w:pPr>
        <w:ind w:left="2114" w:hanging="180"/>
      </w:pPr>
    </w:lvl>
    <w:lvl w:ilvl="3" w:tplc="040C000F" w:tentative="1">
      <w:start w:val="1"/>
      <w:numFmt w:val="decimal"/>
      <w:lvlText w:val="%4."/>
      <w:lvlJc w:val="left"/>
      <w:pPr>
        <w:ind w:left="2834" w:hanging="360"/>
      </w:pPr>
    </w:lvl>
    <w:lvl w:ilvl="4" w:tplc="040C0019" w:tentative="1">
      <w:start w:val="1"/>
      <w:numFmt w:val="lowerLetter"/>
      <w:lvlText w:val="%5."/>
      <w:lvlJc w:val="left"/>
      <w:pPr>
        <w:ind w:left="3554" w:hanging="360"/>
      </w:pPr>
    </w:lvl>
    <w:lvl w:ilvl="5" w:tplc="040C001B" w:tentative="1">
      <w:start w:val="1"/>
      <w:numFmt w:val="lowerRoman"/>
      <w:lvlText w:val="%6."/>
      <w:lvlJc w:val="right"/>
      <w:pPr>
        <w:ind w:left="4274" w:hanging="180"/>
      </w:pPr>
    </w:lvl>
    <w:lvl w:ilvl="6" w:tplc="040C000F" w:tentative="1">
      <w:start w:val="1"/>
      <w:numFmt w:val="decimal"/>
      <w:lvlText w:val="%7."/>
      <w:lvlJc w:val="left"/>
      <w:pPr>
        <w:ind w:left="4994" w:hanging="360"/>
      </w:pPr>
    </w:lvl>
    <w:lvl w:ilvl="7" w:tplc="040C0019" w:tentative="1">
      <w:start w:val="1"/>
      <w:numFmt w:val="lowerLetter"/>
      <w:lvlText w:val="%8."/>
      <w:lvlJc w:val="left"/>
      <w:pPr>
        <w:ind w:left="5714" w:hanging="360"/>
      </w:pPr>
    </w:lvl>
    <w:lvl w:ilvl="8" w:tplc="040C001B" w:tentative="1">
      <w:start w:val="1"/>
      <w:numFmt w:val="lowerRoman"/>
      <w:lvlText w:val="%9."/>
      <w:lvlJc w:val="right"/>
      <w:pPr>
        <w:ind w:left="6434" w:hanging="180"/>
      </w:pPr>
    </w:lvl>
  </w:abstractNum>
  <w:abstractNum w:abstractNumId="3" w15:restartNumberingAfterBreak="0">
    <w:nsid w:val="10FD7D0C"/>
    <w:multiLevelType w:val="hybridMultilevel"/>
    <w:tmpl w:val="7936A9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E261B"/>
    <w:multiLevelType w:val="hybridMultilevel"/>
    <w:tmpl w:val="01AECD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CB4624B"/>
    <w:multiLevelType w:val="hybridMultilevel"/>
    <w:tmpl w:val="11E855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CE5306"/>
    <w:multiLevelType w:val="hybridMultilevel"/>
    <w:tmpl w:val="B0EA9E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9F055D"/>
    <w:multiLevelType w:val="hybridMultilevel"/>
    <w:tmpl w:val="51AEF02C"/>
    <w:lvl w:ilvl="0" w:tplc="951860F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1E7FD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9443D8"/>
    <w:multiLevelType w:val="hybridMultilevel"/>
    <w:tmpl w:val="D20235A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7C40DD"/>
    <w:multiLevelType w:val="hybridMultilevel"/>
    <w:tmpl w:val="F2D8DCB8"/>
    <w:lvl w:ilvl="0" w:tplc="8F4E3530">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0479C6"/>
    <w:multiLevelType w:val="hybridMultilevel"/>
    <w:tmpl w:val="988479D4"/>
    <w:lvl w:ilvl="0" w:tplc="3ED00A18">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2" w15:restartNumberingAfterBreak="0">
    <w:nsid w:val="3C3756B7"/>
    <w:multiLevelType w:val="hybridMultilevel"/>
    <w:tmpl w:val="0A2455B4"/>
    <w:lvl w:ilvl="0" w:tplc="040C000F">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D60007"/>
    <w:multiLevelType w:val="hybridMultilevel"/>
    <w:tmpl w:val="05E68894"/>
    <w:lvl w:ilvl="0" w:tplc="BC74692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4D9473FD"/>
    <w:multiLevelType w:val="hybridMultilevel"/>
    <w:tmpl w:val="F386E5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EB28C4"/>
    <w:multiLevelType w:val="hybridMultilevel"/>
    <w:tmpl w:val="8FE6F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22F48"/>
    <w:multiLevelType w:val="hybridMultilevel"/>
    <w:tmpl w:val="4DD658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5B7694"/>
    <w:multiLevelType w:val="hybridMultilevel"/>
    <w:tmpl w:val="8D3A5178"/>
    <w:lvl w:ilvl="0" w:tplc="5D18C4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D92AC5"/>
    <w:multiLevelType w:val="hybridMultilevel"/>
    <w:tmpl w:val="F86E26B6"/>
    <w:lvl w:ilvl="0" w:tplc="84B69F18">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196A15"/>
    <w:multiLevelType w:val="hybridMultilevel"/>
    <w:tmpl w:val="DB829E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E30DA7"/>
    <w:multiLevelType w:val="hybridMultilevel"/>
    <w:tmpl w:val="6F349A9C"/>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1" w15:restartNumberingAfterBreak="0">
    <w:nsid w:val="7D0B70EF"/>
    <w:multiLevelType w:val="hybridMultilevel"/>
    <w:tmpl w:val="DB8E721E"/>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
  </w:num>
  <w:num w:numId="4">
    <w:abstractNumId w:val="14"/>
  </w:num>
  <w:num w:numId="5">
    <w:abstractNumId w:val="5"/>
  </w:num>
  <w:num w:numId="6">
    <w:abstractNumId w:val="20"/>
  </w:num>
  <w:num w:numId="7">
    <w:abstractNumId w:val="16"/>
  </w:num>
  <w:num w:numId="8">
    <w:abstractNumId w:val="0"/>
  </w:num>
  <w:num w:numId="9">
    <w:abstractNumId w:val="15"/>
  </w:num>
  <w:num w:numId="10">
    <w:abstractNumId w:val="7"/>
  </w:num>
  <w:num w:numId="11">
    <w:abstractNumId w:val="4"/>
  </w:num>
  <w:num w:numId="12">
    <w:abstractNumId w:val="17"/>
  </w:num>
  <w:num w:numId="13">
    <w:abstractNumId w:val="11"/>
  </w:num>
  <w:num w:numId="14">
    <w:abstractNumId w:val="13"/>
  </w:num>
  <w:num w:numId="15">
    <w:abstractNumId w:val="2"/>
  </w:num>
  <w:num w:numId="16">
    <w:abstractNumId w:val="6"/>
  </w:num>
  <w:num w:numId="17">
    <w:abstractNumId w:val="19"/>
  </w:num>
  <w:num w:numId="18">
    <w:abstractNumId w:val="3"/>
  </w:num>
  <w:num w:numId="19">
    <w:abstractNumId w:val="10"/>
  </w:num>
  <w:num w:numId="20">
    <w:abstractNumId w:val="18"/>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BF"/>
    <w:rsid w:val="0001372F"/>
    <w:rsid w:val="00037A5C"/>
    <w:rsid w:val="00046120"/>
    <w:rsid w:val="00050259"/>
    <w:rsid w:val="00052FB1"/>
    <w:rsid w:val="00075C41"/>
    <w:rsid w:val="000774BD"/>
    <w:rsid w:val="000D78DE"/>
    <w:rsid w:val="000E6F87"/>
    <w:rsid w:val="000F0843"/>
    <w:rsid w:val="001075BE"/>
    <w:rsid w:val="00122421"/>
    <w:rsid w:val="00126A13"/>
    <w:rsid w:val="00130A4E"/>
    <w:rsid w:val="00135C2C"/>
    <w:rsid w:val="00136C18"/>
    <w:rsid w:val="00137ACD"/>
    <w:rsid w:val="001605AE"/>
    <w:rsid w:val="00176A96"/>
    <w:rsid w:val="001926A2"/>
    <w:rsid w:val="00194B6E"/>
    <w:rsid w:val="00196C71"/>
    <w:rsid w:val="001A5456"/>
    <w:rsid w:val="001B19A4"/>
    <w:rsid w:val="001B2E73"/>
    <w:rsid w:val="001E42D7"/>
    <w:rsid w:val="001E5AD3"/>
    <w:rsid w:val="001E6B67"/>
    <w:rsid w:val="001F21B7"/>
    <w:rsid w:val="0022096F"/>
    <w:rsid w:val="00226DAE"/>
    <w:rsid w:val="002665DA"/>
    <w:rsid w:val="002C70DD"/>
    <w:rsid w:val="002D6081"/>
    <w:rsid w:val="002E7877"/>
    <w:rsid w:val="00300554"/>
    <w:rsid w:val="003831A8"/>
    <w:rsid w:val="0038321E"/>
    <w:rsid w:val="003D0CA3"/>
    <w:rsid w:val="003E0A7F"/>
    <w:rsid w:val="003E21C9"/>
    <w:rsid w:val="003E2D80"/>
    <w:rsid w:val="004F2635"/>
    <w:rsid w:val="004F2CA7"/>
    <w:rsid w:val="00527494"/>
    <w:rsid w:val="005429D2"/>
    <w:rsid w:val="00556B92"/>
    <w:rsid w:val="0056424E"/>
    <w:rsid w:val="00565B60"/>
    <w:rsid w:val="005702B1"/>
    <w:rsid w:val="0059099C"/>
    <w:rsid w:val="005B13AE"/>
    <w:rsid w:val="005C6FAE"/>
    <w:rsid w:val="005E4254"/>
    <w:rsid w:val="00611F8A"/>
    <w:rsid w:val="0063034A"/>
    <w:rsid w:val="00631839"/>
    <w:rsid w:val="00654A12"/>
    <w:rsid w:val="00672D5A"/>
    <w:rsid w:val="00682FFF"/>
    <w:rsid w:val="0068412E"/>
    <w:rsid w:val="00686E78"/>
    <w:rsid w:val="006906DE"/>
    <w:rsid w:val="0069722C"/>
    <w:rsid w:val="006A3EB7"/>
    <w:rsid w:val="006A4CC0"/>
    <w:rsid w:val="006D0D6B"/>
    <w:rsid w:val="00724155"/>
    <w:rsid w:val="007259AD"/>
    <w:rsid w:val="0076006A"/>
    <w:rsid w:val="007640B3"/>
    <w:rsid w:val="00797467"/>
    <w:rsid w:val="007B68B3"/>
    <w:rsid w:val="007F4CDE"/>
    <w:rsid w:val="008A4218"/>
    <w:rsid w:val="008A4930"/>
    <w:rsid w:val="008C4D95"/>
    <w:rsid w:val="008F0A19"/>
    <w:rsid w:val="00904F9E"/>
    <w:rsid w:val="00911709"/>
    <w:rsid w:val="0091615D"/>
    <w:rsid w:val="00954A6C"/>
    <w:rsid w:val="009675B4"/>
    <w:rsid w:val="009923AE"/>
    <w:rsid w:val="0099329E"/>
    <w:rsid w:val="00994811"/>
    <w:rsid w:val="009A7CA4"/>
    <w:rsid w:val="009B1CA4"/>
    <w:rsid w:val="00A0188D"/>
    <w:rsid w:val="00A0763C"/>
    <w:rsid w:val="00A210BC"/>
    <w:rsid w:val="00A37FEE"/>
    <w:rsid w:val="00A41E27"/>
    <w:rsid w:val="00AD4DDA"/>
    <w:rsid w:val="00B0002E"/>
    <w:rsid w:val="00B042A5"/>
    <w:rsid w:val="00B16734"/>
    <w:rsid w:val="00B259BD"/>
    <w:rsid w:val="00B572E7"/>
    <w:rsid w:val="00B65698"/>
    <w:rsid w:val="00B67E34"/>
    <w:rsid w:val="00B70290"/>
    <w:rsid w:val="00B702C2"/>
    <w:rsid w:val="00B739F2"/>
    <w:rsid w:val="00B933DF"/>
    <w:rsid w:val="00BA07A2"/>
    <w:rsid w:val="00BB09A1"/>
    <w:rsid w:val="00BB73B4"/>
    <w:rsid w:val="00BC61F4"/>
    <w:rsid w:val="00BE312F"/>
    <w:rsid w:val="00BF42BE"/>
    <w:rsid w:val="00C17126"/>
    <w:rsid w:val="00C266E2"/>
    <w:rsid w:val="00C70B00"/>
    <w:rsid w:val="00CA441C"/>
    <w:rsid w:val="00CC34BF"/>
    <w:rsid w:val="00CF117D"/>
    <w:rsid w:val="00D00833"/>
    <w:rsid w:val="00D15BC3"/>
    <w:rsid w:val="00D43E36"/>
    <w:rsid w:val="00D6613A"/>
    <w:rsid w:val="00D67604"/>
    <w:rsid w:val="00DB6864"/>
    <w:rsid w:val="00DB7F35"/>
    <w:rsid w:val="00DC05A9"/>
    <w:rsid w:val="00DC6A37"/>
    <w:rsid w:val="00DF585E"/>
    <w:rsid w:val="00E279C3"/>
    <w:rsid w:val="00E4436C"/>
    <w:rsid w:val="00E45C04"/>
    <w:rsid w:val="00E47919"/>
    <w:rsid w:val="00E57D4F"/>
    <w:rsid w:val="00E8532E"/>
    <w:rsid w:val="00E92B81"/>
    <w:rsid w:val="00EB2818"/>
    <w:rsid w:val="00EC09FB"/>
    <w:rsid w:val="00EC223E"/>
    <w:rsid w:val="00EF206C"/>
    <w:rsid w:val="00EF4258"/>
    <w:rsid w:val="00F33AAF"/>
    <w:rsid w:val="00F54D66"/>
    <w:rsid w:val="00F74CE5"/>
    <w:rsid w:val="00F92116"/>
    <w:rsid w:val="00F92FA0"/>
    <w:rsid w:val="00FE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689BDF"/>
  <w15:docId w15:val="{D6C9BA45-5709-417A-8ECA-562DD052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BF"/>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CC34B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CC34BF"/>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CC34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4BF"/>
    <w:rPr>
      <w:rFonts w:ascii="Tahoma" w:eastAsia="Times New Roman" w:hAnsi="Tahoma" w:cs="Tahoma"/>
      <w:sz w:val="16"/>
      <w:szCs w:val="16"/>
    </w:rPr>
  </w:style>
  <w:style w:type="paragraph" w:styleId="NormalWeb">
    <w:name w:val="Normal (Web)"/>
    <w:basedOn w:val="Normal"/>
    <w:uiPriority w:val="99"/>
    <w:unhideWhenUsed/>
    <w:rsid w:val="00A37FEE"/>
    <w:pPr>
      <w:spacing w:before="100" w:beforeAutospacing="1" w:after="119" w:line="240" w:lineRule="auto"/>
    </w:pPr>
    <w:rPr>
      <w:rFonts w:ascii="Times New Roman" w:hAnsi="Times New Roman"/>
      <w:sz w:val="24"/>
      <w:szCs w:val="24"/>
      <w:lang w:eastAsia="fr-FR"/>
    </w:rPr>
  </w:style>
  <w:style w:type="paragraph" w:styleId="Paragraphedeliste">
    <w:name w:val="List Paragraph"/>
    <w:basedOn w:val="Normal"/>
    <w:uiPriority w:val="34"/>
    <w:qFormat/>
    <w:rsid w:val="00136C18"/>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22096F"/>
    <w:pPr>
      <w:tabs>
        <w:tab w:val="center" w:pos="4536"/>
        <w:tab w:val="right" w:pos="9072"/>
      </w:tabs>
      <w:spacing w:after="0" w:line="240" w:lineRule="auto"/>
    </w:pPr>
  </w:style>
  <w:style w:type="character" w:customStyle="1" w:styleId="En-tteCar">
    <w:name w:val="En-tête Car"/>
    <w:basedOn w:val="Policepardfaut"/>
    <w:link w:val="En-tte"/>
    <w:uiPriority w:val="99"/>
    <w:rsid w:val="0022096F"/>
    <w:rPr>
      <w:rFonts w:ascii="Calibri" w:eastAsia="Times New Roman" w:hAnsi="Calibri" w:cs="Times New Roman"/>
    </w:rPr>
  </w:style>
  <w:style w:type="paragraph" w:styleId="Pieddepage">
    <w:name w:val="footer"/>
    <w:basedOn w:val="Normal"/>
    <w:link w:val="PieddepageCar"/>
    <w:uiPriority w:val="99"/>
    <w:unhideWhenUsed/>
    <w:rsid w:val="00220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96F"/>
    <w:rPr>
      <w:rFonts w:ascii="Calibri" w:eastAsia="Times New Roman" w:hAnsi="Calibri" w:cs="Times New Roman"/>
    </w:rPr>
  </w:style>
  <w:style w:type="character" w:styleId="lev">
    <w:name w:val="Strong"/>
    <w:basedOn w:val="Policepardfaut"/>
    <w:uiPriority w:val="22"/>
    <w:qFormat/>
    <w:rsid w:val="0068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9420">
      <w:bodyDiv w:val="1"/>
      <w:marLeft w:val="0"/>
      <w:marRight w:val="0"/>
      <w:marTop w:val="0"/>
      <w:marBottom w:val="0"/>
      <w:divBdr>
        <w:top w:val="none" w:sz="0" w:space="0" w:color="auto"/>
        <w:left w:val="none" w:sz="0" w:space="0" w:color="auto"/>
        <w:bottom w:val="none" w:sz="0" w:space="0" w:color="auto"/>
        <w:right w:val="none" w:sz="0" w:space="0" w:color="auto"/>
      </w:divBdr>
      <w:divsChild>
        <w:div w:id="1171993634">
          <w:marLeft w:val="0"/>
          <w:marRight w:val="0"/>
          <w:marTop w:val="0"/>
          <w:marBottom w:val="0"/>
          <w:divBdr>
            <w:top w:val="none" w:sz="0" w:space="0" w:color="auto"/>
            <w:left w:val="none" w:sz="0" w:space="0" w:color="auto"/>
            <w:bottom w:val="none" w:sz="0" w:space="0" w:color="auto"/>
            <w:right w:val="none" w:sz="0" w:space="0" w:color="auto"/>
          </w:divBdr>
          <w:divsChild>
            <w:div w:id="640576525">
              <w:marLeft w:val="0"/>
              <w:marRight w:val="0"/>
              <w:marTop w:val="0"/>
              <w:marBottom w:val="0"/>
              <w:divBdr>
                <w:top w:val="none" w:sz="0" w:space="0" w:color="auto"/>
                <w:left w:val="none" w:sz="0" w:space="0" w:color="auto"/>
                <w:bottom w:val="none" w:sz="0" w:space="0" w:color="auto"/>
                <w:right w:val="none" w:sz="0" w:space="0" w:color="auto"/>
              </w:divBdr>
              <w:divsChild>
                <w:div w:id="149256245">
                  <w:marLeft w:val="0"/>
                  <w:marRight w:val="0"/>
                  <w:marTop w:val="0"/>
                  <w:marBottom w:val="0"/>
                  <w:divBdr>
                    <w:top w:val="none" w:sz="0" w:space="0" w:color="auto"/>
                    <w:left w:val="none" w:sz="0" w:space="0" w:color="auto"/>
                    <w:bottom w:val="none" w:sz="0" w:space="0" w:color="auto"/>
                    <w:right w:val="none" w:sz="0" w:space="0" w:color="auto"/>
                  </w:divBdr>
                  <w:divsChild>
                    <w:div w:id="49233570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98354230">
      <w:bodyDiv w:val="1"/>
      <w:marLeft w:val="0"/>
      <w:marRight w:val="0"/>
      <w:marTop w:val="0"/>
      <w:marBottom w:val="0"/>
      <w:divBdr>
        <w:top w:val="none" w:sz="0" w:space="0" w:color="auto"/>
        <w:left w:val="none" w:sz="0" w:space="0" w:color="auto"/>
        <w:bottom w:val="none" w:sz="0" w:space="0" w:color="auto"/>
        <w:right w:val="none" w:sz="0" w:space="0" w:color="auto"/>
      </w:divBdr>
    </w:div>
    <w:div w:id="1346787750">
      <w:bodyDiv w:val="1"/>
      <w:marLeft w:val="0"/>
      <w:marRight w:val="0"/>
      <w:marTop w:val="0"/>
      <w:marBottom w:val="0"/>
      <w:divBdr>
        <w:top w:val="none" w:sz="0" w:space="0" w:color="auto"/>
        <w:left w:val="none" w:sz="0" w:space="0" w:color="auto"/>
        <w:bottom w:val="none" w:sz="0" w:space="0" w:color="auto"/>
        <w:right w:val="none" w:sz="0" w:space="0" w:color="auto"/>
      </w:divBdr>
    </w:div>
    <w:div w:id="19473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831D99E9F44E73B1E5D1BA0F93F054"/>
        <w:category>
          <w:name w:val="Général"/>
          <w:gallery w:val="placeholder"/>
        </w:category>
        <w:types>
          <w:type w:val="bbPlcHdr"/>
        </w:types>
        <w:behaviors>
          <w:behavior w:val="content"/>
        </w:behaviors>
        <w:guid w:val="{A60D8ACA-9B78-4D27-8F00-3C3DBA52F153}"/>
      </w:docPartPr>
      <w:docPartBody>
        <w:p w:rsidR="00E76EF1" w:rsidRDefault="007B5A3A" w:rsidP="007B5A3A">
          <w:pPr>
            <w:pStyle w:val="3A831D99E9F44E73B1E5D1BA0F93F05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3A"/>
    <w:rsid w:val="007B5A3A"/>
    <w:rsid w:val="00E76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6857C51D874934BD19107E49F3949E">
    <w:name w:val="4E6857C51D874934BD19107E49F3949E"/>
    <w:rsid w:val="007B5A3A"/>
  </w:style>
  <w:style w:type="paragraph" w:customStyle="1" w:styleId="3A831D99E9F44E73B1E5D1BA0F93F054">
    <w:name w:val="3A831D99E9F44E73B1E5D1BA0F93F054"/>
    <w:rsid w:val="007B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2CD0-19B3-43FA-8792-E8699EB5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CDG79 / Expertise RH / expertise-rh@cdg79.fr / MAJ 17/02/2025</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CDG79 / Expertise RH / expertise-rh@cdg79.fr / MAJ 19/06/2025</dc:title>
  <dc:creator>Caroline CG. GEORGET</dc:creator>
  <cp:lastModifiedBy>Corinne AUDOUX</cp:lastModifiedBy>
  <cp:revision>3</cp:revision>
  <cp:lastPrinted>2024-01-29T09:07:00Z</cp:lastPrinted>
  <dcterms:created xsi:type="dcterms:W3CDTF">2025-06-19T09:37:00Z</dcterms:created>
  <dcterms:modified xsi:type="dcterms:W3CDTF">2025-06-19T09:42:00Z</dcterms:modified>
</cp:coreProperties>
</file>