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F6" w:rsidRDefault="00A74AF6" w:rsidP="00A74AF6">
      <w:pPr>
        <w:jc w:val="center"/>
        <w:rPr>
          <w:rFonts w:ascii="Times New Roman" w:eastAsia="Times New Roman" w:hAnsi="Times New Roman" w:cs="Times New Roman"/>
          <w:b/>
          <w:lang w:eastAsia="fr-FR"/>
        </w:rPr>
      </w:pPr>
      <w:r w:rsidRPr="00F32436">
        <w:rPr>
          <w:rFonts w:ascii="Times New Roman" w:eastAsia="Times New Roman" w:hAnsi="Times New Roman" w:cs="Times New Roman"/>
          <w:b/>
          <w:highlight w:val="yellow"/>
          <w:lang w:eastAsia="fr-FR"/>
        </w:rPr>
        <w:t>Modèle de délibération</w:t>
      </w:r>
    </w:p>
    <w:p w:rsidR="00A74AF6" w:rsidRDefault="00A74AF6" w:rsidP="00A74AF6">
      <w:pPr>
        <w:jc w:val="center"/>
        <w:rPr>
          <w:rFonts w:ascii="Times New Roman" w:eastAsia="Times New Roman" w:hAnsi="Times New Roman" w:cs="Times New Roman"/>
          <w:b/>
          <w:lang w:eastAsia="fr-FR"/>
        </w:rPr>
      </w:pPr>
    </w:p>
    <w:p w:rsidR="00A74AF6" w:rsidRDefault="00A74AF6" w:rsidP="00A74AF6">
      <w:pPr>
        <w:jc w:val="right"/>
        <w:rPr>
          <w:rFonts w:ascii="Times New Roman" w:eastAsia="Times New Roman" w:hAnsi="Times New Roman" w:cs="Times New Roman"/>
          <w:b/>
          <w:lang w:eastAsia="fr-FR"/>
        </w:rPr>
      </w:pPr>
      <w:r>
        <w:rPr>
          <w:rFonts w:ascii="Times New Roman" w:eastAsia="Times New Roman" w:hAnsi="Times New Roman" w:cs="Times New Roman"/>
          <w:b/>
          <w:lang w:eastAsia="fr-FR"/>
        </w:rPr>
        <w:t>REPUBLIQUE FRANCAISE                               DEPARTEMENT DES DEUX SEVRES</w:t>
      </w:r>
    </w:p>
    <w:p w:rsidR="0013130D" w:rsidRDefault="0013130D" w:rsidP="0013130D">
      <w:pPr>
        <w:jc w:val="right"/>
        <w:rPr>
          <w:rFonts w:ascii="Times New Roman" w:eastAsia="Times New Roman" w:hAnsi="Times New Roman" w:cs="Times New Roman"/>
          <w:b/>
          <w:lang w:eastAsia="fr-FR"/>
        </w:rPr>
      </w:pPr>
    </w:p>
    <w:p w:rsidR="0013130D" w:rsidRDefault="00B345C8" w:rsidP="0013130D">
      <w:pPr>
        <w:jc w:val="center"/>
        <w:rPr>
          <w:rFonts w:ascii="Times New Roman" w:eastAsia="Times New Roman" w:hAnsi="Times New Roman" w:cs="Times New Roman"/>
          <w:b/>
          <w:lang w:eastAsia="fr-FR"/>
        </w:rPr>
      </w:pPr>
      <w:r w:rsidRPr="003E78D0">
        <w:rPr>
          <w:rFonts w:ascii="Times New Roman" w:eastAsia="Times New Roman" w:hAnsi="Times New Roman" w:cs="Times New Roman"/>
          <w:b/>
          <w:noProof/>
          <w:lang w:eastAsia="fr-FR"/>
        </w:rPr>
        <mc:AlternateContent>
          <mc:Choice Requires="wps">
            <w:drawing>
              <wp:anchor distT="45720" distB="45720" distL="114300" distR="114300" simplePos="0" relativeHeight="251659264" behindDoc="0" locked="0" layoutInCell="1" allowOverlap="1" wp14:anchorId="1B5F1442" wp14:editId="2998D695">
                <wp:simplePos x="0" y="0"/>
                <wp:positionH relativeFrom="margin">
                  <wp:align>left</wp:align>
                </wp:positionH>
                <wp:positionV relativeFrom="paragraph">
                  <wp:posOffset>394335</wp:posOffset>
                </wp:positionV>
                <wp:extent cx="5735955" cy="542925"/>
                <wp:effectExtent l="0" t="0" r="1714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542925"/>
                        </a:xfrm>
                        <a:prstGeom prst="rect">
                          <a:avLst/>
                        </a:prstGeom>
                        <a:solidFill>
                          <a:schemeClr val="bg1">
                            <a:lumMod val="95000"/>
                          </a:schemeClr>
                        </a:solidFill>
                        <a:ln w="9525">
                          <a:solidFill>
                            <a:srgbClr val="000000"/>
                          </a:solidFill>
                          <a:miter lim="800000"/>
                          <a:headEnd/>
                          <a:tailEnd/>
                        </a:ln>
                      </wps:spPr>
                      <wps:txbx>
                        <w:txbxContent>
                          <w:p w:rsidR="00B345C8" w:rsidRPr="003E78D0" w:rsidRDefault="00B345C8" w:rsidP="00B345C8">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Avenant n°1 à la convention d’a</w:t>
                            </w:r>
                            <w:r w:rsidRPr="009E5A67">
                              <w:rPr>
                                <w:rFonts w:ascii="Times New Roman" w:eastAsia="Times New Roman" w:hAnsi="Times New Roman" w:cs="Times New Roman"/>
                                <w:b/>
                                <w:lang w:eastAsia="fr-FR"/>
                              </w:rPr>
                              <w:t>dhésion à la Centrale d’achat du Centre de gestion des Deux-Sèvres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F1442" id="_x0000_t202" coordsize="21600,21600" o:spt="202" path="m,l,21600r21600,l21600,xe">
                <v:stroke joinstyle="miter"/>
                <v:path gradientshapeok="t" o:connecttype="rect"/>
              </v:shapetype>
              <v:shape id="Zone de texte 2" o:spid="_x0000_s1026" type="#_x0000_t202" style="position:absolute;left:0;text-align:left;margin-left:0;margin-top:31.05pt;width:451.65pt;height:4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" fillcolor="#f2f2f2 [3052]">
                <v:textbox>
                  <w:txbxContent>
                    <w:p w:rsidR="00B345C8" w:rsidRPr="003E78D0" w:rsidRDefault="00B345C8" w:rsidP="00B345C8">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Avenant n°1 à la convention d’a</w:t>
                      </w:r>
                      <w:r w:rsidRPr="009E5A67">
                        <w:rPr>
                          <w:rFonts w:ascii="Times New Roman" w:eastAsia="Times New Roman" w:hAnsi="Times New Roman" w:cs="Times New Roman"/>
                          <w:b/>
                          <w:lang w:eastAsia="fr-FR"/>
                        </w:rPr>
                        <w:t>dhésion à la Centrale d’achat du Centre de gestion des Deux-Sèvres</w:t>
                      </w:r>
                    </w:p>
                  </w:txbxContent>
                </v:textbox>
                <w10:wrap type="square" anchorx="margin"/>
              </v:shape>
            </w:pict>
          </mc:Fallback>
        </mc:AlternateContent>
      </w:r>
    </w:p>
    <w:p w:rsidR="0013130D" w:rsidRDefault="0013130D" w:rsidP="0013130D">
      <w:pPr>
        <w:jc w:val="center"/>
        <w:rPr>
          <w:rFonts w:ascii="Times New Roman" w:eastAsia="Times New Roman" w:hAnsi="Times New Roman" w:cs="Times New Roman"/>
          <w:b/>
          <w:lang w:eastAsia="fr-FR"/>
        </w:rPr>
      </w:pPr>
    </w:p>
    <w:p w:rsidR="0013130D" w:rsidRDefault="0013130D" w:rsidP="0013130D">
      <w:pPr>
        <w:jc w:val="center"/>
        <w:rPr>
          <w:rFonts w:ascii="Times New Roman" w:eastAsia="Times New Roman" w:hAnsi="Times New Roman" w:cs="Times New Roman"/>
          <w:b/>
          <w:lang w:eastAsia="fr-FR"/>
        </w:rPr>
      </w:pPr>
    </w:p>
    <w:p w:rsidR="0013130D" w:rsidRDefault="0013130D" w:rsidP="0013130D">
      <w:pPr>
        <w:rPr>
          <w:rFonts w:ascii="Times New Roman" w:eastAsia="Times New Roman" w:hAnsi="Times New Roman" w:cs="Times New Roman"/>
          <w:b/>
          <w:lang w:eastAsia="fr-FR"/>
        </w:rPr>
      </w:pPr>
    </w:p>
    <w:p w:rsidR="0013130D" w:rsidRDefault="0013130D" w:rsidP="0013130D">
      <w:pPr>
        <w:rPr>
          <w:rFonts w:ascii="Times New Roman" w:eastAsia="Times New Roman" w:hAnsi="Times New Roman" w:cs="Times New Roman"/>
          <w:b/>
          <w:lang w:eastAsia="fr-FR"/>
        </w:rPr>
      </w:pPr>
      <w:r>
        <w:rPr>
          <w:rFonts w:ascii="Times New Roman" w:eastAsia="Times New Roman" w:hAnsi="Times New Roman" w:cs="Times New Roman"/>
          <w:b/>
          <w:lang w:eastAsia="fr-FR"/>
        </w:rPr>
        <w:t>Dé</w:t>
      </w:r>
      <w:r w:rsidRPr="009E5A67">
        <w:rPr>
          <w:rFonts w:ascii="Times New Roman" w:eastAsia="Times New Roman" w:hAnsi="Times New Roman" w:cs="Times New Roman"/>
          <w:b/>
          <w:lang w:eastAsia="fr-FR"/>
        </w:rPr>
        <w:t>libération</w:t>
      </w:r>
      <w:r>
        <w:rPr>
          <w:rFonts w:ascii="Times New Roman" w:eastAsia="Times New Roman" w:hAnsi="Times New Roman" w:cs="Times New Roman"/>
          <w:b/>
          <w:lang w:eastAsia="fr-FR"/>
        </w:rPr>
        <w:t xml:space="preserve"> n° </w:t>
      </w:r>
      <w:r w:rsidRPr="005C67E3">
        <w:rPr>
          <w:rFonts w:ascii="Times New Roman" w:eastAsia="Times New Roman" w:hAnsi="Times New Roman" w:cs="Times New Roman"/>
          <w:b/>
          <w:highlight w:val="yellow"/>
          <w:lang w:eastAsia="fr-FR"/>
        </w:rPr>
        <w:t>XX</w:t>
      </w:r>
    </w:p>
    <w:p w:rsidR="0013130D" w:rsidRDefault="0013130D" w:rsidP="0013130D">
      <w:pPr>
        <w:rPr>
          <w:rFonts w:ascii="Times New Roman" w:eastAsia="Times New Roman" w:hAnsi="Times New Roman" w:cs="Times New Roman"/>
          <w:b/>
          <w:lang w:eastAsia="fr-FR"/>
        </w:rPr>
      </w:pPr>
    </w:p>
    <w:p w:rsidR="0013130D" w:rsidRDefault="0013130D" w:rsidP="0013130D">
      <w:pP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L’an deux mille vingt-quatre, le </w:t>
      </w:r>
      <w:proofErr w:type="spellStart"/>
      <w:r w:rsidRPr="005C67E3">
        <w:rPr>
          <w:rFonts w:ascii="Times New Roman" w:eastAsia="Times New Roman" w:hAnsi="Times New Roman" w:cs="Times New Roman"/>
          <w:b/>
          <w:highlight w:val="yellow"/>
          <w:lang w:eastAsia="fr-FR"/>
        </w:rPr>
        <w:t>xxxx</w:t>
      </w:r>
      <w:proofErr w:type="spellEnd"/>
      <w:r>
        <w:rPr>
          <w:rFonts w:ascii="Times New Roman" w:eastAsia="Times New Roman" w:hAnsi="Times New Roman" w:cs="Times New Roman"/>
          <w:b/>
          <w:lang w:eastAsia="fr-FR"/>
        </w:rPr>
        <w:t xml:space="preserve">, </w:t>
      </w:r>
      <w:r w:rsidRPr="005C67E3">
        <w:rPr>
          <w:rFonts w:ascii="Times New Roman" w:eastAsia="Times New Roman" w:hAnsi="Times New Roman" w:cs="Times New Roman"/>
          <w:b/>
          <w:highlight w:val="yellow"/>
          <w:lang w:eastAsia="fr-FR"/>
        </w:rPr>
        <w:t>le Conseil municipal de la commune de xxx</w:t>
      </w:r>
      <w:r>
        <w:rPr>
          <w:rFonts w:ascii="Times New Roman" w:eastAsia="Times New Roman" w:hAnsi="Times New Roman" w:cs="Times New Roman"/>
          <w:b/>
          <w:lang w:eastAsia="fr-FR"/>
        </w:rPr>
        <w:t xml:space="preserve"> s’est réuni à </w:t>
      </w:r>
      <w:proofErr w:type="spellStart"/>
      <w:r w:rsidRPr="005C67E3">
        <w:rPr>
          <w:rFonts w:ascii="Times New Roman" w:eastAsia="Times New Roman" w:hAnsi="Times New Roman" w:cs="Times New Roman"/>
          <w:b/>
          <w:highlight w:val="yellow"/>
          <w:lang w:eastAsia="fr-FR"/>
        </w:rPr>
        <w:t>xxxx</w:t>
      </w:r>
      <w:proofErr w:type="spellEnd"/>
    </w:p>
    <w:p w:rsidR="0013130D" w:rsidRDefault="0013130D" w:rsidP="0013130D">
      <w:pPr>
        <w:rPr>
          <w:rFonts w:ascii="Times New Roman" w:eastAsia="Times New Roman" w:hAnsi="Times New Roman" w:cs="Times New Roman"/>
          <w:b/>
          <w:lang w:eastAsia="fr-FR"/>
        </w:rPr>
      </w:pPr>
    </w:p>
    <w:p w:rsidR="0013130D" w:rsidRPr="009E5A67" w:rsidRDefault="0013130D" w:rsidP="0013130D">
      <w:pPr>
        <w:rPr>
          <w:rFonts w:ascii="Times New Roman" w:eastAsia="Times New Roman" w:hAnsi="Times New Roman" w:cs="Times New Roman"/>
          <w:b/>
          <w:lang w:eastAsia="fr-FR"/>
        </w:rPr>
      </w:pPr>
      <w:r>
        <w:rPr>
          <w:rFonts w:ascii="Times New Roman" w:eastAsia="Times New Roman" w:hAnsi="Times New Roman" w:cs="Times New Roman"/>
          <w:b/>
          <w:lang w:eastAsia="fr-FR"/>
        </w:rPr>
        <w:t>Date de convocation :</w:t>
      </w:r>
      <w:r>
        <w:rPr>
          <w:rFonts w:ascii="Times New Roman" w:eastAsia="Times New Roman" w:hAnsi="Times New Roman" w:cs="Times New Roman"/>
          <w:lang w:eastAsia="fr-FR"/>
        </w:rPr>
        <w:t xml:space="preserve">       </w:t>
      </w:r>
    </w:p>
    <w:p w:rsidR="0013130D" w:rsidRDefault="0013130D" w:rsidP="0013130D">
      <w:pPr>
        <w:rPr>
          <w:rFonts w:ascii="Times New Roman" w:eastAsia="Times New Roman" w:hAnsi="Times New Roman" w:cs="Times New Roman"/>
          <w:b/>
          <w:lang w:eastAsia="fr-FR"/>
        </w:rPr>
      </w:pPr>
    </w:p>
    <w:p w:rsidR="0013130D" w:rsidRDefault="0013130D" w:rsidP="0013130D">
      <w:pPr>
        <w:rPr>
          <w:rFonts w:ascii="Times New Roman" w:eastAsia="Times New Roman" w:hAnsi="Times New Roman" w:cs="Times New Roman"/>
          <w:lang w:eastAsia="fr-FR"/>
        </w:rPr>
      </w:pPr>
      <w:r>
        <w:rPr>
          <w:rFonts w:ascii="Times New Roman" w:eastAsia="Times New Roman" w:hAnsi="Times New Roman" w:cs="Times New Roman"/>
          <w:b/>
          <w:lang w:eastAsia="fr-FR"/>
        </w:rPr>
        <w:t>Etaient présents :</w:t>
      </w:r>
      <w:r>
        <w:rPr>
          <w:rFonts w:ascii="Times New Roman" w:eastAsia="Times New Roman" w:hAnsi="Times New Roman" w:cs="Times New Roman"/>
          <w:lang w:eastAsia="fr-FR"/>
        </w:rPr>
        <w:t xml:space="preserve">  </w:t>
      </w:r>
    </w:p>
    <w:p w:rsidR="0013130D" w:rsidRDefault="0013130D" w:rsidP="0013130D">
      <w:pPr>
        <w:rPr>
          <w:rFonts w:ascii="Times New Roman" w:eastAsia="Times New Roman" w:hAnsi="Times New Roman" w:cs="Times New Roman"/>
          <w:lang w:eastAsia="fr-FR"/>
        </w:rPr>
      </w:pPr>
    </w:p>
    <w:p w:rsidR="0013130D" w:rsidRPr="005C67E3" w:rsidRDefault="0013130D" w:rsidP="0013130D">
      <w:pPr>
        <w:rPr>
          <w:rFonts w:ascii="Times New Roman" w:eastAsia="Times New Roman" w:hAnsi="Times New Roman" w:cs="Times New Roman"/>
          <w:b/>
          <w:lang w:eastAsia="fr-FR"/>
        </w:rPr>
      </w:pPr>
      <w:r w:rsidRPr="005C67E3">
        <w:rPr>
          <w:rFonts w:ascii="Times New Roman" w:eastAsia="Times New Roman" w:hAnsi="Times New Roman" w:cs="Times New Roman"/>
          <w:b/>
          <w:lang w:eastAsia="fr-FR"/>
        </w:rPr>
        <w:t>Etaient excusés :</w:t>
      </w:r>
      <w:r>
        <w:rPr>
          <w:rFonts w:ascii="Times New Roman" w:eastAsia="Times New Roman" w:hAnsi="Times New Roman" w:cs="Times New Roman"/>
          <w:lang w:eastAsia="fr-FR"/>
        </w:rPr>
        <w:t xml:space="preserve"> </w:t>
      </w:r>
    </w:p>
    <w:p w:rsidR="0013130D" w:rsidRDefault="0013130D" w:rsidP="0013130D">
      <w:pPr>
        <w:jc w:val="center"/>
      </w:pPr>
    </w:p>
    <w:p w:rsidR="0013130D" w:rsidRPr="00A80811" w:rsidRDefault="0013130D" w:rsidP="00A74AF6">
      <w:pPr>
        <w:jc w:val="both"/>
        <w:rPr>
          <w:rFonts w:ascii="Times New Roman" w:eastAsia="Times New Roman" w:hAnsi="Times New Roman" w:cs="Times New Roman"/>
          <w:lang w:eastAsia="fr-FR"/>
        </w:rPr>
      </w:pPr>
      <w:r w:rsidRPr="005C67E3">
        <w:rPr>
          <w:rFonts w:ascii="Times New Roman" w:eastAsia="Times New Roman" w:hAnsi="Times New Roman" w:cs="Times New Roman"/>
          <w:highlight w:val="yellow"/>
          <w:lang w:eastAsia="fr-FR"/>
        </w:rPr>
        <w:t>Madame, Monsieur le</w:t>
      </w:r>
      <w:r w:rsidRPr="005C67E3">
        <w:rPr>
          <w:rFonts w:ascii="Times New Roman" w:eastAsia="Times New Roman" w:hAnsi="Times New Roman" w:cs="Times New Roman"/>
          <w:lang w:eastAsia="fr-FR"/>
        </w:rPr>
        <w:t xml:space="preserve"> </w:t>
      </w:r>
      <w:r w:rsidRPr="005C67E3">
        <w:rPr>
          <w:rFonts w:ascii="Times New Roman" w:eastAsia="Times New Roman" w:hAnsi="Times New Roman" w:cs="Times New Roman"/>
          <w:highlight w:val="yellow"/>
          <w:lang w:eastAsia="fr-FR"/>
        </w:rPr>
        <w:t>Maire</w:t>
      </w:r>
      <w:r w:rsidRPr="005C67E3">
        <w:rPr>
          <w:rFonts w:ascii="Times New Roman" w:eastAsia="Times New Roman" w:hAnsi="Times New Roman" w:cs="Times New Roman"/>
          <w:lang w:eastAsia="fr-FR"/>
        </w:rPr>
        <w:t xml:space="preserve"> rappelle au Conseil </w:t>
      </w:r>
      <w:r w:rsidRPr="005C67E3">
        <w:rPr>
          <w:rFonts w:ascii="Times New Roman" w:eastAsia="Times New Roman" w:hAnsi="Times New Roman" w:cs="Times New Roman"/>
          <w:highlight w:val="yellow"/>
          <w:lang w:eastAsia="fr-FR"/>
        </w:rPr>
        <w:t>municipal</w:t>
      </w:r>
      <w:r w:rsidRPr="005C67E3">
        <w:rPr>
          <w:rFonts w:ascii="Times New Roman" w:eastAsia="Times New Roman" w:hAnsi="Times New Roman" w:cs="Times New Roman"/>
          <w:lang w:eastAsia="fr-FR"/>
        </w:rPr>
        <w:t xml:space="preserve"> que la règlementation de la </w:t>
      </w:r>
      <w:r w:rsidRPr="00A80811">
        <w:rPr>
          <w:rFonts w:ascii="Times New Roman" w:eastAsia="Times New Roman" w:hAnsi="Times New Roman" w:cs="Times New Roman"/>
          <w:lang w:eastAsia="fr-FR"/>
        </w:rPr>
        <w:t xml:space="preserve">commande publique autorise les pouvoirs adjudicateurs territoriaux à recourir aux achats centralisés par un outil dédié dénommé </w:t>
      </w:r>
      <w:r w:rsidRPr="009E5A67">
        <w:rPr>
          <w:rFonts w:ascii="Times New Roman" w:eastAsia="Times New Roman" w:hAnsi="Times New Roman" w:cs="Times New Roman"/>
          <w:i/>
          <w:lang w:eastAsia="fr-FR"/>
        </w:rPr>
        <w:t>« Centrale d’achat »</w:t>
      </w:r>
      <w:r w:rsidRPr="00A80811">
        <w:rPr>
          <w:rFonts w:ascii="Times New Roman" w:eastAsia="Times New Roman" w:hAnsi="Times New Roman" w:cs="Times New Roman"/>
          <w:lang w:eastAsia="fr-FR"/>
        </w:rPr>
        <w:t xml:space="preserve">. </w:t>
      </w:r>
    </w:p>
    <w:p w:rsidR="0013130D" w:rsidRPr="00A80811" w:rsidRDefault="0013130D" w:rsidP="00A74AF6">
      <w:pPr>
        <w:jc w:val="both"/>
        <w:rPr>
          <w:rFonts w:ascii="Times New Roman" w:eastAsia="Times New Roman" w:hAnsi="Times New Roman" w:cs="Times New Roman"/>
          <w:lang w:eastAsia="fr-FR"/>
        </w:rPr>
      </w:pPr>
      <w:r w:rsidRPr="00A80811">
        <w:rPr>
          <w:rFonts w:ascii="Times New Roman" w:eastAsia="Times New Roman" w:hAnsi="Times New Roman" w:cs="Times New Roman"/>
          <w:lang w:eastAsia="fr-FR"/>
        </w:rPr>
        <w:t>Une Centrale d’achat permet à un groupement d’acheteurs de recourir à une même procédure d’achat et est défini</w:t>
      </w:r>
      <w:r>
        <w:rPr>
          <w:rFonts w:ascii="Times New Roman" w:eastAsia="Times New Roman" w:hAnsi="Times New Roman" w:cs="Times New Roman"/>
          <w:lang w:eastAsia="fr-FR"/>
        </w:rPr>
        <w:t>e</w:t>
      </w:r>
      <w:r w:rsidRPr="00A80811">
        <w:rPr>
          <w:rFonts w:ascii="Times New Roman" w:eastAsia="Times New Roman" w:hAnsi="Times New Roman" w:cs="Times New Roman"/>
          <w:lang w:eastAsia="fr-FR"/>
        </w:rPr>
        <w:t xml:space="preserve"> par l’article L2113-2 du code de la commande publique :</w:t>
      </w:r>
    </w:p>
    <w:p w:rsidR="0013130D" w:rsidRDefault="0013130D" w:rsidP="00A74AF6">
      <w:pPr>
        <w:jc w:val="both"/>
      </w:pPr>
    </w:p>
    <w:p w:rsidR="0013130D" w:rsidRPr="00C87EEB" w:rsidRDefault="0013130D" w:rsidP="00A74AF6">
      <w:pPr>
        <w:pStyle w:val="NormalWeb"/>
        <w:shd w:val="clear" w:color="auto" w:fill="FFFFFF"/>
        <w:spacing w:before="0" w:beforeAutospacing="0" w:after="0" w:afterAutospacing="0"/>
        <w:jc w:val="both"/>
        <w:rPr>
          <w:i/>
        </w:rPr>
      </w:pPr>
      <w:r>
        <w:t xml:space="preserve"> </w:t>
      </w:r>
      <w:r w:rsidRPr="00C87EEB">
        <w:rPr>
          <w:i/>
        </w:rPr>
        <w:t>« Une centrale d’achat est un acheteur qui a pour objet d’exercer de façon permanente, au bénéfice des acheteurs, l’une au moins des activités d’achat centralisées suivantes :</w:t>
      </w:r>
    </w:p>
    <w:p w:rsidR="0013130D" w:rsidRPr="00C87EEB" w:rsidRDefault="0013130D" w:rsidP="00A74AF6">
      <w:pPr>
        <w:pStyle w:val="NormalWeb"/>
        <w:shd w:val="clear" w:color="auto" w:fill="FFFFFF"/>
        <w:spacing w:before="0" w:beforeAutospacing="0" w:after="0" w:afterAutospacing="0"/>
        <w:ind w:firstLine="708"/>
        <w:jc w:val="both"/>
        <w:rPr>
          <w:i/>
        </w:rPr>
      </w:pPr>
      <w:r w:rsidRPr="00C87EEB">
        <w:rPr>
          <w:i/>
        </w:rPr>
        <w:t>1° L’acquisition de fournitures ou de services ;</w:t>
      </w:r>
    </w:p>
    <w:p w:rsidR="0013130D" w:rsidRPr="00A80811" w:rsidRDefault="0013130D" w:rsidP="00A74AF6">
      <w:pPr>
        <w:pStyle w:val="NormalWeb"/>
        <w:shd w:val="clear" w:color="auto" w:fill="FFFFFF"/>
        <w:spacing w:before="0" w:beforeAutospacing="0" w:after="0" w:afterAutospacing="0"/>
        <w:ind w:firstLine="708"/>
        <w:jc w:val="both"/>
        <w:rPr>
          <w:i/>
        </w:rPr>
      </w:pPr>
      <w:r w:rsidRPr="00C87EEB">
        <w:rPr>
          <w:i/>
        </w:rPr>
        <w:t>2° La passation des marchés de travaux, de fournitures ou de services. »</w:t>
      </w:r>
    </w:p>
    <w:p w:rsidR="0013130D" w:rsidRPr="00C87EEB" w:rsidRDefault="0013130D" w:rsidP="00A74AF6">
      <w:pPr>
        <w:pStyle w:val="NormalWeb"/>
        <w:shd w:val="clear" w:color="auto" w:fill="FFFFFF"/>
        <w:spacing w:before="180" w:beforeAutospacing="0" w:after="180" w:afterAutospacing="0"/>
        <w:jc w:val="both"/>
      </w:pPr>
      <w:r w:rsidRPr="00C87EEB">
        <w:t>Conformément à la directive européenne n°2014/24/UE du 26 février 2014, la centrale d’achat remplit deux missions principales :</w:t>
      </w:r>
    </w:p>
    <w:p w:rsidR="0013130D" w:rsidRPr="00C87EEB" w:rsidRDefault="0013130D" w:rsidP="0013130D">
      <w:pPr>
        <w:pStyle w:val="NormalWeb"/>
        <w:numPr>
          <w:ilvl w:val="0"/>
          <w:numId w:val="1"/>
        </w:numPr>
        <w:shd w:val="clear" w:color="auto" w:fill="FFFFFF"/>
        <w:spacing w:before="180" w:beforeAutospacing="0" w:after="180" w:afterAutospacing="0"/>
        <w:jc w:val="both"/>
      </w:pPr>
      <w:r w:rsidRPr="00C87EEB">
        <w:t xml:space="preserve">Un rôle de </w:t>
      </w:r>
      <w:r w:rsidRPr="00C87EEB">
        <w:rPr>
          <w:i/>
        </w:rPr>
        <w:t>« grossiste »</w:t>
      </w:r>
      <w:r w:rsidRPr="00C87EEB">
        <w:t xml:space="preserve"> (exemple : acquisition de fournitures et biens qu’elle stocke puis cède aux acheteurs),</w:t>
      </w:r>
    </w:p>
    <w:p w:rsidR="0013130D" w:rsidRDefault="0013130D" w:rsidP="0013130D">
      <w:pPr>
        <w:pStyle w:val="NormalWeb"/>
        <w:numPr>
          <w:ilvl w:val="0"/>
          <w:numId w:val="1"/>
        </w:numPr>
        <w:shd w:val="clear" w:color="auto" w:fill="FFFFFF"/>
        <w:spacing w:before="180" w:beforeAutospacing="0" w:after="180" w:afterAutospacing="0"/>
        <w:jc w:val="both"/>
      </w:pPr>
      <w:r w:rsidRPr="00C87EEB">
        <w:t xml:space="preserve">Un rôle </w:t>
      </w:r>
      <w:r w:rsidRPr="00C87EEB">
        <w:rPr>
          <w:i/>
        </w:rPr>
        <w:t>« d’intermédiaire »</w:t>
      </w:r>
      <w:r w:rsidRPr="00C87EEB">
        <w:t xml:space="preserve"> en intervenant dans la passation du marché, exécuté ensuite par l’acheteur lui-même.</w:t>
      </w:r>
    </w:p>
    <w:p w:rsidR="0013130D" w:rsidRDefault="0013130D" w:rsidP="0013130D">
      <w:pPr>
        <w:pStyle w:val="NormalWeb"/>
        <w:shd w:val="clear" w:color="auto" w:fill="FFFFFF"/>
        <w:spacing w:before="180" w:beforeAutospacing="0" w:after="180" w:afterAutospacing="0"/>
        <w:jc w:val="both"/>
      </w:pPr>
      <w:r w:rsidRPr="00C87EEB">
        <w:t>L’article L2113-4 du code de la commande publique précise que les acheteurs qui recourent à une centrale d'achat pour la réalisation de travaux ou l'acquisition de fournitures ou de services sont considérés comme ayant respecté leurs obligations de publicité et de mise en concurrence.</w:t>
      </w:r>
    </w:p>
    <w:p w:rsidR="0013130D" w:rsidRDefault="0013130D" w:rsidP="0013130D">
      <w:pPr>
        <w:pStyle w:val="NormalWeb"/>
        <w:shd w:val="clear" w:color="auto" w:fill="FFFFFF"/>
        <w:spacing w:before="180" w:beforeAutospacing="0" w:after="180" w:afterAutospacing="0"/>
        <w:jc w:val="center"/>
      </w:pPr>
      <w:r>
        <w:t>**</w:t>
      </w:r>
    </w:p>
    <w:p w:rsidR="0013130D" w:rsidRDefault="0013130D" w:rsidP="0013130D">
      <w:pPr>
        <w:pStyle w:val="NormalWeb"/>
        <w:shd w:val="clear" w:color="auto" w:fill="FFFFFF"/>
        <w:spacing w:before="180" w:beforeAutospacing="0" w:after="180" w:afterAutospacing="0"/>
        <w:ind w:firstLine="708"/>
        <w:jc w:val="both"/>
      </w:pPr>
      <w:r>
        <w:t>Par délibération en date du 1</w:t>
      </w:r>
      <w:r w:rsidRPr="005807FC">
        <w:t>er</w:t>
      </w:r>
      <w:r>
        <w:t xml:space="preserve"> juillet 2019, le Centre de gestion des Deux-Sèvres a constitué une centrale d’achat </w:t>
      </w:r>
      <w:r w:rsidRPr="003F7608">
        <w:rPr>
          <w:i/>
        </w:rPr>
        <w:t>« CDG79 »</w:t>
      </w:r>
      <w:r>
        <w:t xml:space="preserve"> au bénéfice de ses communes et établissements publics affiliés à titre obligatoire ou volontaire, </w:t>
      </w:r>
      <w:r w:rsidRPr="00C87EEB">
        <w:t>selon des principes directeurs visant à déployer un dispositif simple et un mode de fonctionnement peu contraignant.</w:t>
      </w:r>
    </w:p>
    <w:p w:rsidR="0013130D" w:rsidRDefault="0013130D" w:rsidP="0013130D">
      <w:pPr>
        <w:jc w:val="both"/>
        <w:rPr>
          <w:rFonts w:ascii="Times New Roman" w:eastAsia="Times New Roman" w:hAnsi="Times New Roman" w:cs="Times New Roman"/>
          <w:lang w:eastAsia="fr-FR"/>
        </w:rPr>
      </w:pPr>
      <w:bookmarkStart w:id="0" w:name="_GoBack"/>
      <w:bookmarkEnd w:id="0"/>
      <w:r w:rsidRPr="005807FC">
        <w:rPr>
          <w:rFonts w:ascii="Times New Roman" w:eastAsia="Times New Roman" w:hAnsi="Times New Roman" w:cs="Times New Roman"/>
          <w:lang w:eastAsia="fr-FR"/>
        </w:rPr>
        <w:t xml:space="preserve">La convention d’adhésion en précise les modalités d’organisation et de fonctionnement. </w:t>
      </w:r>
    </w:p>
    <w:p w:rsidR="00A11151" w:rsidRDefault="00A11151" w:rsidP="0013130D">
      <w:pPr>
        <w:jc w:val="both"/>
        <w:rPr>
          <w:rFonts w:ascii="Times New Roman" w:eastAsia="Times New Roman" w:hAnsi="Times New Roman" w:cs="Times New Roman"/>
          <w:lang w:eastAsia="fr-FR"/>
        </w:rPr>
      </w:pPr>
    </w:p>
    <w:p w:rsidR="000732A4" w:rsidRPr="000732A4" w:rsidRDefault="000732A4" w:rsidP="000732A4">
      <w:pPr>
        <w:jc w:val="both"/>
        <w:rPr>
          <w:rFonts w:ascii="Times New Roman" w:eastAsia="Times New Roman" w:hAnsi="Times New Roman" w:cs="Times New Roman"/>
          <w:lang w:eastAsia="fr-FR"/>
        </w:rPr>
      </w:pPr>
      <w:r w:rsidRPr="000732A4">
        <w:rPr>
          <w:rFonts w:ascii="Times New Roman" w:eastAsia="Times New Roman" w:hAnsi="Times New Roman" w:cs="Times New Roman"/>
          <w:lang w:eastAsia="fr-FR"/>
        </w:rPr>
        <w:t>Précisément, la Centrale d’achat assure les missions suivantes :</w:t>
      </w:r>
    </w:p>
    <w:p w:rsidR="000732A4" w:rsidRPr="000732A4" w:rsidRDefault="000732A4" w:rsidP="000732A4">
      <w:pPr>
        <w:numPr>
          <w:ilvl w:val="0"/>
          <w:numId w:val="2"/>
        </w:numPr>
        <w:jc w:val="both"/>
        <w:rPr>
          <w:rFonts w:ascii="Times New Roman" w:eastAsia="Times New Roman" w:hAnsi="Times New Roman" w:cs="Times New Roman"/>
          <w:lang w:eastAsia="fr-FR"/>
        </w:rPr>
      </w:pPr>
      <w:r w:rsidRPr="000732A4">
        <w:rPr>
          <w:rFonts w:ascii="Times New Roman" w:eastAsia="Times New Roman" w:hAnsi="Times New Roman" w:cs="Times New Roman"/>
          <w:lang w:eastAsia="fr-FR"/>
        </w:rPr>
        <w:t>Assister et conseiller l’acheteur dans le recensement des besoins et détermination d’un calendrier global de ou des achats envisagés,</w:t>
      </w:r>
    </w:p>
    <w:p w:rsidR="000732A4" w:rsidRPr="000732A4" w:rsidRDefault="000732A4" w:rsidP="000732A4">
      <w:pPr>
        <w:numPr>
          <w:ilvl w:val="0"/>
          <w:numId w:val="2"/>
        </w:numPr>
        <w:jc w:val="both"/>
        <w:rPr>
          <w:rFonts w:ascii="Times New Roman" w:eastAsia="Times New Roman" w:hAnsi="Times New Roman" w:cs="Times New Roman"/>
          <w:lang w:eastAsia="fr-FR"/>
        </w:rPr>
      </w:pPr>
      <w:r w:rsidRPr="000732A4">
        <w:rPr>
          <w:rFonts w:ascii="Times New Roman" w:eastAsia="Times New Roman" w:hAnsi="Times New Roman" w:cs="Times New Roman"/>
          <w:lang w:eastAsia="fr-FR"/>
        </w:rPr>
        <w:t>Préparer la consultation de l’achat (</w:t>
      </w:r>
      <w:proofErr w:type="spellStart"/>
      <w:r w:rsidRPr="000732A4">
        <w:rPr>
          <w:rFonts w:ascii="Times New Roman" w:eastAsia="Times New Roman" w:hAnsi="Times New Roman" w:cs="Times New Roman"/>
          <w:lang w:eastAsia="fr-FR"/>
        </w:rPr>
        <w:t>sourçage</w:t>
      </w:r>
      <w:proofErr w:type="spellEnd"/>
      <w:r w:rsidRPr="000732A4">
        <w:rPr>
          <w:rFonts w:ascii="Times New Roman" w:eastAsia="Times New Roman" w:hAnsi="Times New Roman" w:cs="Times New Roman"/>
          <w:lang w:eastAsia="fr-FR"/>
        </w:rPr>
        <w:t xml:space="preserve"> et cahier des charges),</w:t>
      </w:r>
    </w:p>
    <w:p w:rsidR="000732A4" w:rsidRPr="000732A4" w:rsidRDefault="000732A4" w:rsidP="000732A4">
      <w:pPr>
        <w:numPr>
          <w:ilvl w:val="0"/>
          <w:numId w:val="2"/>
        </w:numPr>
        <w:jc w:val="both"/>
        <w:rPr>
          <w:rFonts w:ascii="Times New Roman" w:eastAsia="Times New Roman" w:hAnsi="Times New Roman" w:cs="Times New Roman"/>
          <w:lang w:eastAsia="fr-FR"/>
        </w:rPr>
      </w:pPr>
      <w:r w:rsidRPr="000732A4">
        <w:rPr>
          <w:rFonts w:ascii="Times New Roman" w:eastAsia="Times New Roman" w:hAnsi="Times New Roman" w:cs="Times New Roman"/>
          <w:lang w:eastAsia="fr-FR"/>
        </w:rPr>
        <w:t>Passer le marché ou l’accord cadre (formalités de publicité et de mise en concurrence, réception des candidatures et des offres, analyse des candidatures et des offres, négociation le cas échéant, attribution et notification),</w:t>
      </w:r>
    </w:p>
    <w:p w:rsidR="000732A4" w:rsidRPr="000732A4" w:rsidRDefault="000732A4" w:rsidP="000732A4">
      <w:pPr>
        <w:numPr>
          <w:ilvl w:val="0"/>
          <w:numId w:val="2"/>
        </w:numPr>
        <w:jc w:val="both"/>
        <w:rPr>
          <w:rFonts w:ascii="Times New Roman" w:eastAsia="Times New Roman" w:hAnsi="Times New Roman" w:cs="Times New Roman"/>
          <w:lang w:eastAsia="fr-FR"/>
        </w:rPr>
      </w:pPr>
      <w:r w:rsidRPr="000732A4">
        <w:rPr>
          <w:rFonts w:ascii="Times New Roman" w:eastAsia="Times New Roman" w:hAnsi="Times New Roman" w:cs="Times New Roman"/>
          <w:lang w:eastAsia="fr-FR"/>
        </w:rPr>
        <w:t>Dans l’hypothèse d’un accord-cadre, notifier le cas échéant les bons de commande ou les marchés subséquents aux attributaires, au nom et pour le compte des acheteurs.</w:t>
      </w:r>
    </w:p>
    <w:p w:rsidR="000732A4" w:rsidRPr="000732A4" w:rsidRDefault="000732A4" w:rsidP="000732A4">
      <w:pPr>
        <w:jc w:val="both"/>
        <w:rPr>
          <w:rFonts w:ascii="Times New Roman" w:eastAsia="Times New Roman" w:hAnsi="Times New Roman" w:cs="Times New Roman"/>
          <w:lang w:eastAsia="fr-FR"/>
        </w:rPr>
      </w:pPr>
      <w:r w:rsidRPr="000732A4">
        <w:rPr>
          <w:rFonts w:ascii="Times New Roman" w:eastAsia="Times New Roman" w:hAnsi="Times New Roman" w:cs="Times New Roman"/>
          <w:lang w:eastAsia="fr-FR"/>
        </w:rPr>
        <w:t>L’acheteur adhérant à la Centrale d’achat s’engage à :</w:t>
      </w:r>
    </w:p>
    <w:p w:rsidR="000732A4" w:rsidRPr="000732A4" w:rsidRDefault="000732A4" w:rsidP="000732A4">
      <w:pPr>
        <w:numPr>
          <w:ilvl w:val="0"/>
          <w:numId w:val="2"/>
        </w:numPr>
        <w:jc w:val="both"/>
        <w:rPr>
          <w:rFonts w:ascii="Times New Roman" w:eastAsia="Times New Roman" w:hAnsi="Times New Roman" w:cs="Times New Roman"/>
          <w:lang w:eastAsia="fr-FR"/>
        </w:rPr>
      </w:pPr>
      <w:r w:rsidRPr="000732A4">
        <w:rPr>
          <w:rFonts w:ascii="Times New Roman" w:eastAsia="Times New Roman" w:hAnsi="Times New Roman" w:cs="Times New Roman"/>
          <w:lang w:eastAsia="fr-FR"/>
        </w:rPr>
        <w:t>Recenser ses besoins avec l’assistance de la centrale d’achat,</w:t>
      </w:r>
    </w:p>
    <w:p w:rsidR="000732A4" w:rsidRDefault="000732A4" w:rsidP="000732A4">
      <w:pPr>
        <w:numPr>
          <w:ilvl w:val="0"/>
          <w:numId w:val="2"/>
        </w:numPr>
        <w:jc w:val="both"/>
        <w:rPr>
          <w:rFonts w:ascii="Times New Roman" w:eastAsia="Times New Roman" w:hAnsi="Times New Roman" w:cs="Times New Roman"/>
          <w:lang w:eastAsia="fr-FR"/>
        </w:rPr>
      </w:pPr>
      <w:r w:rsidRPr="000732A4">
        <w:rPr>
          <w:rFonts w:ascii="Times New Roman" w:eastAsia="Times New Roman" w:hAnsi="Times New Roman" w:cs="Times New Roman"/>
          <w:lang w:eastAsia="fr-FR"/>
        </w:rPr>
        <w:t>Exécuter le marché (passation du bon de commande ou du marché subséquent le cas échéant, réception des commandes ou prestations et paiement des factures).</w:t>
      </w:r>
    </w:p>
    <w:p w:rsidR="00A11151" w:rsidRDefault="00A11151" w:rsidP="00A11151">
      <w:pPr>
        <w:jc w:val="both"/>
        <w:rPr>
          <w:rFonts w:ascii="Times New Roman" w:eastAsia="Times New Roman" w:hAnsi="Times New Roman" w:cs="Times New Roman"/>
          <w:lang w:eastAsia="fr-FR"/>
        </w:rPr>
      </w:pPr>
    </w:p>
    <w:p w:rsidR="00A11151" w:rsidRPr="005807FC" w:rsidRDefault="00A11151" w:rsidP="00A11151">
      <w:pPr>
        <w:ind w:firstLine="708"/>
        <w:jc w:val="both"/>
        <w:rPr>
          <w:rFonts w:ascii="Times New Roman" w:eastAsia="Times New Roman" w:hAnsi="Times New Roman" w:cs="Times New Roman"/>
          <w:lang w:eastAsia="fr-FR"/>
        </w:rPr>
      </w:pPr>
      <w:r w:rsidRPr="00A11151">
        <w:rPr>
          <w:rFonts w:ascii="Times New Roman" w:eastAsia="Times New Roman" w:hAnsi="Times New Roman" w:cs="Times New Roman"/>
          <w:lang w:eastAsia="fr-FR"/>
        </w:rPr>
        <w:t xml:space="preserve">Par délibération en date du </w:t>
      </w:r>
      <w:r w:rsidRPr="00A11151">
        <w:rPr>
          <w:rFonts w:ascii="Times New Roman" w:eastAsia="Times New Roman" w:hAnsi="Times New Roman" w:cs="Times New Roman"/>
          <w:highlight w:val="yellow"/>
          <w:lang w:eastAsia="fr-FR"/>
        </w:rPr>
        <w:t>[date]</w:t>
      </w:r>
      <w:r w:rsidRPr="00A11151">
        <w:rPr>
          <w:rFonts w:ascii="Times New Roman" w:eastAsia="Times New Roman" w:hAnsi="Times New Roman" w:cs="Times New Roman"/>
          <w:lang w:eastAsia="fr-FR"/>
        </w:rPr>
        <w:t xml:space="preserve">, le </w:t>
      </w:r>
      <w:r w:rsidRPr="00A11151">
        <w:rPr>
          <w:rFonts w:ascii="Times New Roman" w:eastAsia="Times New Roman" w:hAnsi="Times New Roman" w:cs="Times New Roman"/>
          <w:highlight w:val="yellow"/>
          <w:lang w:eastAsia="fr-FR"/>
        </w:rPr>
        <w:t>[conseil municipal, conseil communautaire, …]</w:t>
      </w:r>
      <w:r w:rsidRPr="00A11151">
        <w:rPr>
          <w:rFonts w:ascii="Times New Roman" w:eastAsia="Times New Roman" w:hAnsi="Times New Roman" w:cs="Times New Roman"/>
          <w:lang w:eastAsia="fr-FR"/>
        </w:rPr>
        <w:t xml:space="preserve"> à adhérer à la centrale d’achat du CDG79,</w:t>
      </w:r>
    </w:p>
    <w:p w:rsidR="00A11151" w:rsidRDefault="00A11151" w:rsidP="00A11151">
      <w:pPr>
        <w:jc w:val="both"/>
        <w:rPr>
          <w:rFonts w:ascii="Times New Roman" w:eastAsia="Times New Roman" w:hAnsi="Times New Roman" w:cs="Times New Roman"/>
          <w:lang w:eastAsia="fr-FR"/>
        </w:rPr>
      </w:pPr>
    </w:p>
    <w:p w:rsidR="00A11151" w:rsidRDefault="00A11151" w:rsidP="00A11151">
      <w:pPr>
        <w:pStyle w:val="NormalWeb"/>
        <w:shd w:val="clear" w:color="auto" w:fill="FFFFFF"/>
        <w:spacing w:before="180" w:beforeAutospacing="0" w:after="180" w:afterAutospacing="0"/>
        <w:ind w:firstLine="708"/>
        <w:jc w:val="both"/>
      </w:pPr>
      <w:r>
        <w:t>Par délibération en date du 7 octobre 2024, le Centre de gestion des Deux-Sèvres a mis en place la possibilité dans certains marché d’un commissionnement au profit du CDG79.</w:t>
      </w:r>
    </w:p>
    <w:p w:rsidR="00A11151" w:rsidRDefault="00A11151" w:rsidP="00A11151">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L’adhésion à la Centrale d’achat CDG79 est gratuite.</w:t>
      </w:r>
    </w:p>
    <w:p w:rsidR="00A11151" w:rsidRDefault="00A11151" w:rsidP="00A11151">
      <w:pPr>
        <w:jc w:val="both"/>
        <w:rPr>
          <w:rFonts w:ascii="Times New Roman" w:eastAsia="Times New Roman" w:hAnsi="Times New Roman" w:cs="Times New Roman"/>
          <w:lang w:eastAsia="fr-FR"/>
        </w:rPr>
      </w:pPr>
      <w:r w:rsidRPr="000732A4">
        <w:rPr>
          <w:rFonts w:ascii="Times New Roman" w:eastAsia="Times New Roman" w:hAnsi="Times New Roman" w:cs="Times New Roman"/>
          <w:lang w:eastAsia="fr-FR"/>
        </w:rPr>
        <w:t>Toutefois, selon l’objet du marché, un commissionnement pourra être appliqué à chaque adhérent au profit du CDG79.</w:t>
      </w:r>
    </w:p>
    <w:p w:rsidR="00A11151" w:rsidRPr="000732A4" w:rsidRDefault="00A11151" w:rsidP="00A11151">
      <w:pPr>
        <w:jc w:val="both"/>
        <w:rPr>
          <w:rFonts w:ascii="Times New Roman" w:eastAsia="Times New Roman" w:hAnsi="Times New Roman" w:cs="Times New Roman"/>
          <w:lang w:eastAsia="fr-FR"/>
        </w:rPr>
      </w:pPr>
      <w:r w:rsidRPr="00A11151">
        <w:rPr>
          <w:rFonts w:ascii="Times New Roman" w:eastAsia="Times New Roman" w:hAnsi="Times New Roman" w:cs="Times New Roman"/>
          <w:lang w:eastAsia="fr-FR"/>
        </w:rPr>
        <w:t>Le taux et les modalités d’application de ce commissionnement seront fixés lors de l’adhésion de l’Acheteur aux marchés concernés.</w:t>
      </w:r>
    </w:p>
    <w:p w:rsidR="000732A4" w:rsidRDefault="000732A4" w:rsidP="0013130D">
      <w:pPr>
        <w:jc w:val="both"/>
        <w:rPr>
          <w:rFonts w:ascii="Times New Roman" w:eastAsia="Times New Roman" w:hAnsi="Times New Roman" w:cs="Times New Roman"/>
          <w:lang w:eastAsia="fr-FR"/>
        </w:rPr>
      </w:pPr>
    </w:p>
    <w:p w:rsidR="00B438D8" w:rsidRDefault="00B438D8" w:rsidP="0013130D">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Ce point entraine</w:t>
      </w:r>
      <w:r w:rsidRPr="00B438D8">
        <w:rPr>
          <w:rFonts w:ascii="Times New Roman" w:eastAsia="Times New Roman" w:hAnsi="Times New Roman" w:cs="Times New Roman"/>
          <w:lang w:eastAsia="fr-FR"/>
        </w:rPr>
        <w:t xml:space="preserve"> une modification par avenant de la convention d’adhésion à la centrale d’achat.</w:t>
      </w:r>
    </w:p>
    <w:p w:rsidR="0013130D" w:rsidRDefault="0013130D" w:rsidP="0013130D">
      <w:pPr>
        <w:pStyle w:val="Paragraphedeliste"/>
        <w:shd w:val="clear" w:color="auto" w:fill="FFFFFF"/>
        <w:spacing w:before="180" w:after="180"/>
        <w:jc w:val="center"/>
      </w:pPr>
      <w:r w:rsidRPr="004C2852">
        <w:rPr>
          <w:rFonts w:ascii="Times New Roman" w:eastAsia="Times New Roman" w:hAnsi="Times New Roman" w:cs="Times New Roman"/>
          <w:sz w:val="24"/>
          <w:szCs w:val="24"/>
          <w:lang w:eastAsia="fr-FR"/>
        </w:rPr>
        <w:t>**</w:t>
      </w:r>
    </w:p>
    <w:p w:rsidR="0013130D" w:rsidRDefault="0013130D" w:rsidP="0013130D">
      <w:pPr>
        <w:pStyle w:val="NormalWeb"/>
        <w:shd w:val="clear" w:color="auto" w:fill="FFFFFF"/>
        <w:spacing w:before="180" w:beforeAutospacing="0" w:after="180" w:afterAutospacing="0"/>
        <w:jc w:val="both"/>
      </w:pPr>
      <w:r>
        <w:t>Au vu des éléments ci-dessus exposés, il est proposé d’adopter la délibération suivante :</w:t>
      </w:r>
    </w:p>
    <w:p w:rsidR="0013130D" w:rsidRDefault="0013130D" w:rsidP="0013130D">
      <w:pPr>
        <w:pStyle w:val="NormalWeb"/>
        <w:shd w:val="clear" w:color="auto" w:fill="FFFFFF"/>
        <w:spacing w:before="180" w:beforeAutospacing="0" w:after="180" w:afterAutospacing="0"/>
        <w:jc w:val="both"/>
        <w:rPr>
          <w:u w:val="single"/>
        </w:rPr>
      </w:pPr>
      <w:r w:rsidRPr="00C40A8C">
        <w:rPr>
          <w:u w:val="single"/>
        </w:rPr>
        <w:t>Délibération</w:t>
      </w:r>
    </w:p>
    <w:p w:rsidR="0013130D" w:rsidRDefault="0013130D" w:rsidP="0013130D">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Vu le c</w:t>
      </w:r>
      <w:r w:rsidRPr="00CC5C31">
        <w:rPr>
          <w:rFonts w:ascii="Times New Roman" w:eastAsia="Times New Roman" w:hAnsi="Times New Roman" w:cs="Times New Roman"/>
          <w:lang w:eastAsia="fr-FR"/>
        </w:rPr>
        <w:t>ode général des collectivités territoriales,</w:t>
      </w:r>
    </w:p>
    <w:p w:rsidR="0013130D" w:rsidRPr="00CC5C31" w:rsidRDefault="0013130D" w:rsidP="0013130D">
      <w:pPr>
        <w:jc w:val="both"/>
        <w:rPr>
          <w:rFonts w:ascii="Times New Roman" w:eastAsia="Times New Roman" w:hAnsi="Times New Roman" w:cs="Times New Roman"/>
          <w:lang w:eastAsia="fr-FR"/>
        </w:rPr>
      </w:pPr>
      <w:r w:rsidRPr="00CC5C31">
        <w:rPr>
          <w:rFonts w:ascii="Times New Roman" w:eastAsia="Times New Roman" w:hAnsi="Times New Roman" w:cs="Times New Roman"/>
          <w:lang w:eastAsia="fr-FR"/>
        </w:rPr>
        <w:t>Vu le code de la commande publique,</w:t>
      </w:r>
    </w:p>
    <w:p w:rsidR="0013130D" w:rsidRPr="005807FC" w:rsidRDefault="0013130D" w:rsidP="0013130D">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Vu la loi n°84-53 du 26 janvier 1984 modifiée, portant dispositions statutaires relatives à la fonction publique territoriale,</w:t>
      </w:r>
    </w:p>
    <w:p w:rsidR="0013130D" w:rsidRDefault="0013130D" w:rsidP="0013130D">
      <w:pPr>
        <w:pStyle w:val="NormalWeb"/>
        <w:shd w:val="clear" w:color="auto" w:fill="FFFFFF"/>
        <w:spacing w:before="180" w:beforeAutospacing="0" w:after="180" w:afterAutospacing="0"/>
        <w:jc w:val="both"/>
      </w:pPr>
      <w:r w:rsidRPr="00C40A8C">
        <w:t>Le Conseil</w:t>
      </w:r>
      <w:r>
        <w:t xml:space="preserve">, après en avoir délibéré, à </w:t>
      </w:r>
      <w:r w:rsidRPr="00062DBB">
        <w:rPr>
          <w:i/>
          <w:highlight w:val="yellow"/>
        </w:rPr>
        <w:t>la majorité/l’unanimité</w:t>
      </w:r>
      <w:r>
        <w:rPr>
          <w:highlight w:val="yellow"/>
        </w:rPr>
        <w:t xml:space="preserve"> </w:t>
      </w:r>
      <w:r>
        <w:t>des membres :</w:t>
      </w:r>
    </w:p>
    <w:p w:rsidR="0013130D" w:rsidRDefault="0013130D" w:rsidP="0013130D">
      <w:pPr>
        <w:pStyle w:val="NormalWeb"/>
        <w:numPr>
          <w:ilvl w:val="0"/>
          <w:numId w:val="1"/>
        </w:numPr>
        <w:shd w:val="clear" w:color="auto" w:fill="FFFFFF"/>
        <w:spacing w:before="180" w:beforeAutospacing="0" w:after="180" w:afterAutospacing="0"/>
        <w:jc w:val="both"/>
      </w:pPr>
      <w:r>
        <w:t>Décide d’a</w:t>
      </w:r>
      <w:r w:rsidR="00B438D8">
        <w:t xml:space="preserve">ccepter la </w:t>
      </w:r>
      <w:r w:rsidR="00B438D8" w:rsidRPr="00B438D8">
        <w:t>modification par avenant de la convention d’adhésion</w:t>
      </w:r>
      <w:r>
        <w:t xml:space="preserve"> à la Centrale d’achat du CDG79,</w:t>
      </w:r>
    </w:p>
    <w:p w:rsidR="0013130D" w:rsidRDefault="0013130D" w:rsidP="0013130D">
      <w:pPr>
        <w:pStyle w:val="NormalWeb"/>
        <w:numPr>
          <w:ilvl w:val="0"/>
          <w:numId w:val="1"/>
        </w:numPr>
        <w:shd w:val="clear" w:color="auto" w:fill="FFFFFF"/>
        <w:spacing w:before="180" w:beforeAutospacing="0" w:after="180" w:afterAutospacing="0"/>
        <w:jc w:val="both"/>
      </w:pPr>
      <w:r>
        <w:t xml:space="preserve">Autorise le </w:t>
      </w:r>
      <w:r w:rsidRPr="00062DBB">
        <w:rPr>
          <w:i/>
          <w:highlight w:val="yellow"/>
        </w:rPr>
        <w:t>Maire/le Président</w:t>
      </w:r>
      <w:r>
        <w:t xml:space="preserve"> à signer tout document relatif à cet a</w:t>
      </w:r>
      <w:r w:rsidR="00B438D8">
        <w:t>venant</w:t>
      </w:r>
      <w:r>
        <w:t>, annexé à la présente délibération.</w:t>
      </w:r>
    </w:p>
    <w:p w:rsidR="0013130D" w:rsidRDefault="0013130D" w:rsidP="0013130D">
      <w:pPr>
        <w:pStyle w:val="NormalWeb"/>
        <w:shd w:val="clear" w:color="auto" w:fill="FFFFFF"/>
        <w:spacing w:before="180" w:beforeAutospacing="0" w:after="180" w:afterAutospacing="0"/>
        <w:ind w:left="4956"/>
        <w:jc w:val="both"/>
      </w:pPr>
      <w:r>
        <w:t xml:space="preserve">           Ainsi délibéré et signé après lecture,</w:t>
      </w:r>
    </w:p>
    <w:p w:rsidR="0013130D" w:rsidRDefault="0013130D" w:rsidP="0013130D">
      <w:pPr>
        <w:pStyle w:val="NormalWeb"/>
        <w:shd w:val="clear" w:color="auto" w:fill="FFFFFF"/>
        <w:spacing w:before="180" w:beforeAutospacing="0" w:after="180" w:afterAutospacing="0"/>
        <w:ind w:left="6372"/>
        <w:jc w:val="both"/>
      </w:pPr>
      <w:r w:rsidRPr="00515997">
        <w:rPr>
          <w:highlight w:val="yellow"/>
        </w:rPr>
        <w:t>Le / la</w:t>
      </w:r>
      <w:r>
        <w:rPr>
          <w:highlight w:val="yellow"/>
        </w:rPr>
        <w:t xml:space="preserve"> M</w:t>
      </w:r>
      <w:r w:rsidRPr="00515997">
        <w:rPr>
          <w:highlight w:val="yellow"/>
        </w:rPr>
        <w:t>aire</w:t>
      </w:r>
      <w:r>
        <w:rPr>
          <w:highlight w:val="yellow"/>
        </w:rPr>
        <w:t xml:space="preserve"> </w:t>
      </w:r>
      <w:r w:rsidRPr="00515997">
        <w:rPr>
          <w:highlight w:val="yellow"/>
        </w:rPr>
        <w:t>/</w:t>
      </w:r>
      <w:r>
        <w:rPr>
          <w:highlight w:val="yellow"/>
        </w:rPr>
        <w:t xml:space="preserve"> </w:t>
      </w:r>
      <w:r w:rsidRPr="00515997">
        <w:rPr>
          <w:highlight w:val="yellow"/>
        </w:rPr>
        <w:t>Présidente</w:t>
      </w:r>
    </w:p>
    <w:p w:rsidR="0013130D" w:rsidRDefault="0013130D" w:rsidP="0013130D">
      <w:pPr>
        <w:pStyle w:val="NormalWeb"/>
        <w:shd w:val="clear" w:color="auto" w:fill="FFFFFF"/>
        <w:spacing w:before="180" w:beforeAutospacing="0" w:after="180" w:afterAutospacing="0"/>
        <w:jc w:val="both"/>
      </w:pPr>
    </w:p>
    <w:p w:rsidR="0013130D" w:rsidRDefault="0013130D" w:rsidP="0013130D">
      <w:pPr>
        <w:pStyle w:val="NormalWeb"/>
        <w:shd w:val="clear" w:color="auto" w:fill="FFFFFF"/>
        <w:spacing w:before="180" w:beforeAutospacing="0" w:after="180" w:afterAutospacing="0"/>
        <w:jc w:val="both"/>
      </w:pPr>
      <w:r>
        <w:tab/>
      </w:r>
      <w:r>
        <w:tab/>
      </w:r>
      <w:r>
        <w:tab/>
      </w:r>
      <w:r>
        <w:tab/>
      </w:r>
      <w:r>
        <w:tab/>
      </w:r>
      <w:r>
        <w:tab/>
      </w:r>
      <w:r>
        <w:tab/>
      </w:r>
      <w:r>
        <w:tab/>
      </w:r>
      <w:r>
        <w:tab/>
      </w:r>
      <w:r>
        <w:tab/>
      </w:r>
      <w:proofErr w:type="spellStart"/>
      <w:proofErr w:type="gramStart"/>
      <w:r w:rsidRPr="00515997">
        <w:rPr>
          <w:highlight w:val="yellow"/>
        </w:rPr>
        <w:t>xxxx</w:t>
      </w:r>
      <w:proofErr w:type="spellEnd"/>
      <w:proofErr w:type="gramEnd"/>
    </w:p>
    <w:p w:rsidR="0013130D" w:rsidRDefault="0013130D" w:rsidP="0013130D">
      <w:pPr>
        <w:jc w:val="both"/>
      </w:pPr>
    </w:p>
    <w:p w:rsidR="0013130D" w:rsidRDefault="0013130D" w:rsidP="0013130D">
      <w:pPr>
        <w:jc w:val="both"/>
      </w:pPr>
      <w:r>
        <w:t xml:space="preserve">Délibération télétransmise en Préfecture le : </w:t>
      </w:r>
    </w:p>
    <w:p w:rsidR="0013130D" w:rsidRDefault="0013130D" w:rsidP="0013130D">
      <w:pPr>
        <w:jc w:val="both"/>
      </w:pPr>
      <w:r>
        <w:t>Accusé réception le :</w:t>
      </w:r>
    </w:p>
    <w:p w:rsidR="0013130D" w:rsidRDefault="0013130D" w:rsidP="0013130D">
      <w:pPr>
        <w:jc w:val="both"/>
      </w:pPr>
    </w:p>
    <w:p w:rsidR="0013130D" w:rsidRDefault="0013130D" w:rsidP="0013130D">
      <w:pPr>
        <w:jc w:val="both"/>
      </w:pPr>
      <w:r>
        <w:t>EXECUTOIRE</w:t>
      </w:r>
    </w:p>
    <w:p w:rsidR="0013130D" w:rsidRDefault="0013130D" w:rsidP="0013130D">
      <w:pPr>
        <w:jc w:val="both"/>
      </w:pPr>
    </w:p>
    <w:p w:rsidR="0013130D" w:rsidRDefault="0013130D" w:rsidP="0013130D">
      <w:pPr>
        <w:jc w:val="both"/>
      </w:pPr>
      <w:r>
        <w:t xml:space="preserve">Publiée le : </w:t>
      </w:r>
    </w:p>
    <w:p w:rsidR="0013130D" w:rsidRDefault="0013130D" w:rsidP="0013130D">
      <w:pPr>
        <w:jc w:val="both"/>
      </w:pPr>
      <w:r>
        <w:t>Certifiée conforme à l’original</w:t>
      </w:r>
    </w:p>
    <w:p w:rsidR="0013130D" w:rsidRDefault="0013130D" w:rsidP="0013130D">
      <w:pPr>
        <w:jc w:val="both"/>
      </w:pPr>
      <w:r>
        <w:t xml:space="preserve">A </w:t>
      </w:r>
      <w:r w:rsidRPr="00515997">
        <w:rPr>
          <w:highlight w:val="yellow"/>
        </w:rPr>
        <w:t>xxx</w:t>
      </w:r>
      <w:r>
        <w:t>, le :</w:t>
      </w:r>
    </w:p>
    <w:p w:rsidR="00A80811" w:rsidRPr="0013130D" w:rsidRDefault="00A80811" w:rsidP="0013130D"/>
    <w:sectPr w:rsidR="00A80811" w:rsidRPr="0013130D" w:rsidSect="00515997">
      <w:pgSz w:w="11900" w:h="16840"/>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E38BD"/>
    <w:multiLevelType w:val="hybridMultilevel"/>
    <w:tmpl w:val="64BAD10E"/>
    <w:lvl w:ilvl="0" w:tplc="0DD4DA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184781"/>
    <w:multiLevelType w:val="hybridMultilevel"/>
    <w:tmpl w:val="4072C8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A45A4E"/>
    <w:multiLevelType w:val="hybridMultilevel"/>
    <w:tmpl w:val="75EC5206"/>
    <w:lvl w:ilvl="0" w:tplc="F2A09318">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23"/>
    <w:rsid w:val="00062DBB"/>
    <w:rsid w:val="000732A4"/>
    <w:rsid w:val="0009167E"/>
    <w:rsid w:val="0013130D"/>
    <w:rsid w:val="0014475C"/>
    <w:rsid w:val="00275E23"/>
    <w:rsid w:val="00320AE4"/>
    <w:rsid w:val="00355F23"/>
    <w:rsid w:val="003D7EBA"/>
    <w:rsid w:val="003F7608"/>
    <w:rsid w:val="00400E6A"/>
    <w:rsid w:val="00432604"/>
    <w:rsid w:val="004E5D1F"/>
    <w:rsid w:val="005807FC"/>
    <w:rsid w:val="00603BEE"/>
    <w:rsid w:val="006A426B"/>
    <w:rsid w:val="00794EBB"/>
    <w:rsid w:val="00867A25"/>
    <w:rsid w:val="009E5A67"/>
    <w:rsid w:val="00A11151"/>
    <w:rsid w:val="00A66C74"/>
    <w:rsid w:val="00A74AF6"/>
    <w:rsid w:val="00A80811"/>
    <w:rsid w:val="00AB1CEA"/>
    <w:rsid w:val="00AB2386"/>
    <w:rsid w:val="00AE1602"/>
    <w:rsid w:val="00B300A9"/>
    <w:rsid w:val="00B345C8"/>
    <w:rsid w:val="00B438D8"/>
    <w:rsid w:val="00C07120"/>
    <w:rsid w:val="00C40A8C"/>
    <w:rsid w:val="00EA7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65B8"/>
  <w14:defaultImageDpi w14:val="32767"/>
  <w15:chartTrackingRefBased/>
  <w15:docId w15:val="{0E6595A6-0936-A84F-8B5F-FCFAABD8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80811"/>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400E6A"/>
    <w:pPr>
      <w:spacing w:after="160" w:line="259" w:lineRule="auto"/>
      <w:ind w:left="720"/>
      <w:contextualSpacing/>
    </w:pPr>
    <w:rPr>
      <w:sz w:val="22"/>
      <w:szCs w:val="22"/>
    </w:rPr>
  </w:style>
  <w:style w:type="table" w:styleId="Tableausimple1">
    <w:name w:val="Plain Table 1"/>
    <w:basedOn w:val="TableauNormal"/>
    <w:uiPriority w:val="41"/>
    <w:rsid w:val="00A66C74"/>
    <w:pPr>
      <w:widowControl w:val="0"/>
      <w:jc w:val="both"/>
    </w:pPr>
    <w:rPr>
      <w:rFonts w:ascii="Arial" w:eastAsia="Arial" w:hAnsi="Arial" w:cs="Arial"/>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702</Words>
  <Characters>3864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Trillaud</dc:creator>
  <cp:keywords/>
  <dc:description/>
  <cp:lastModifiedBy>Cathelyne CL. LABARDE</cp:lastModifiedBy>
  <cp:revision>6</cp:revision>
  <dcterms:created xsi:type="dcterms:W3CDTF">2024-11-05T14:10:00Z</dcterms:created>
  <dcterms:modified xsi:type="dcterms:W3CDTF">2024-11-08T11:13:00Z</dcterms:modified>
</cp:coreProperties>
</file>