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F" w:rsidRPr="00D67604" w:rsidRDefault="00191351" w:rsidP="00CC34BF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>
        <w:rPr>
          <w:rFonts w:cs="HelveticaNeue-Light"/>
          <w:b/>
          <w:smallCaps/>
          <w:color w:val="0070C0"/>
          <w:sz w:val="34"/>
          <w:szCs w:val="36"/>
        </w:rPr>
        <w:t>Saisine du Comité Technique</w:t>
      </w:r>
    </w:p>
    <w:p w:rsidR="00D67604" w:rsidRPr="00C74B9D" w:rsidRDefault="00D67604" w:rsidP="00D67604">
      <w:pPr>
        <w:pStyle w:val="Default"/>
        <w:spacing w:before="120"/>
        <w:jc w:val="center"/>
        <w:rPr>
          <w:rFonts w:cs="HelveticaNeue-Light"/>
          <w:b/>
          <w:smallCaps/>
          <w:color w:val="0070C0"/>
          <w:szCs w:val="36"/>
        </w:rPr>
      </w:pPr>
      <w:r w:rsidRPr="00C74B9D">
        <w:rPr>
          <w:rFonts w:cs="HelveticaNeue-Light"/>
          <w:b/>
          <w:smallCaps/>
          <w:color w:val="0070C0"/>
          <w:szCs w:val="36"/>
        </w:rPr>
        <w:t>Séance …………………………………………</w:t>
      </w:r>
    </w:p>
    <w:p w:rsidR="00CC34BF" w:rsidRPr="00D67604" w:rsidRDefault="00CC34BF" w:rsidP="00CC34BF">
      <w:pPr>
        <w:pStyle w:val="Default"/>
        <w:rPr>
          <w:rFonts w:ascii="Calibri" w:hAnsi="Calibri"/>
          <w:sz w:val="16"/>
          <w:szCs w:val="22"/>
        </w:rPr>
      </w:pPr>
    </w:p>
    <w:p w:rsidR="005C19F0" w:rsidRPr="005C19F0" w:rsidRDefault="00CC34BF" w:rsidP="005C19F0">
      <w:pPr>
        <w:pStyle w:val="Default"/>
        <w:jc w:val="both"/>
        <w:rPr>
          <w:b/>
          <w:smallCaps/>
          <w:sz w:val="28"/>
        </w:rPr>
      </w:pPr>
      <w:r w:rsidRPr="00904F9E">
        <w:rPr>
          <w:rFonts w:ascii="Calibri" w:hAnsi="Calibri"/>
          <w:b/>
          <w:bCs/>
          <w:caps/>
          <w:sz w:val="28"/>
          <w:szCs w:val="22"/>
          <w:u w:val="single"/>
        </w:rPr>
        <w:t>Objet</w:t>
      </w:r>
      <w:r w:rsidRPr="00CC34BF">
        <w:rPr>
          <w:rFonts w:ascii="Calibri" w:hAnsi="Calibri"/>
          <w:b/>
          <w:bCs/>
          <w:sz w:val="28"/>
          <w:szCs w:val="22"/>
        </w:rPr>
        <w:t xml:space="preserve"> :</w:t>
      </w:r>
      <w:r w:rsidRPr="00CC34BF">
        <w:rPr>
          <w:rFonts w:ascii="Calibri" w:hAnsi="Calibri"/>
          <w:sz w:val="28"/>
          <w:szCs w:val="22"/>
        </w:rPr>
        <w:t xml:space="preserve"> </w:t>
      </w:r>
      <w:r w:rsidR="005C19F0" w:rsidRPr="005C19F0">
        <w:rPr>
          <w:b/>
          <w:smallCaps/>
          <w:sz w:val="28"/>
        </w:rPr>
        <w:t xml:space="preserve">Proposition de critères d’appréciation de la valeur professionnelle </w:t>
      </w:r>
    </w:p>
    <w:p w:rsidR="005C19F0" w:rsidRPr="005C19F0" w:rsidRDefault="005C19F0" w:rsidP="005C19F0">
      <w:pPr>
        <w:pStyle w:val="Default"/>
        <w:jc w:val="both"/>
        <w:rPr>
          <w:b/>
          <w:smallCaps/>
          <w:sz w:val="28"/>
        </w:rPr>
      </w:pPr>
      <w:r w:rsidRPr="005C19F0">
        <w:rPr>
          <w:b/>
          <w:smallCaps/>
          <w:sz w:val="28"/>
        </w:rPr>
        <w:t>dans le cadre de l’entretien professionnel</w:t>
      </w:r>
    </w:p>
    <w:p w:rsidR="002665DA" w:rsidRDefault="002665DA" w:rsidP="002665DA">
      <w:pPr>
        <w:pStyle w:val="Default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5F6CE7">
        <w:rPr>
          <w:rFonts w:ascii="Calibri" w:hAnsi="Calibri"/>
          <w:b/>
          <w:bCs/>
          <w:sz w:val="22"/>
          <w:szCs w:val="22"/>
          <w:u w:val="single"/>
        </w:rPr>
        <w:t>Textes principaux de référence</w:t>
      </w:r>
      <w:r w:rsidRPr="00EF0FE9">
        <w:rPr>
          <w:rFonts w:ascii="Calibri" w:hAnsi="Calibri"/>
          <w:b/>
          <w:bCs/>
          <w:sz w:val="22"/>
          <w:szCs w:val="22"/>
        </w:rPr>
        <w:t xml:space="preserve"> : </w:t>
      </w:r>
    </w:p>
    <w:p w:rsidR="00AB61B2" w:rsidRDefault="00A012C4" w:rsidP="00C74B9D">
      <w:pPr>
        <w:pStyle w:val="Paragraphedeliste"/>
        <w:numPr>
          <w:ilvl w:val="0"/>
          <w:numId w:val="1"/>
        </w:numPr>
        <w:ind w:left="425"/>
        <w:jc w:val="both"/>
        <w:rPr>
          <w:rFonts w:asciiTheme="minorHAnsi" w:hAnsiTheme="minorHAnsi"/>
          <w:sz w:val="16"/>
          <w:szCs w:val="17"/>
        </w:rPr>
      </w:pPr>
      <w:r>
        <w:rPr>
          <w:rFonts w:asciiTheme="minorHAnsi" w:hAnsiTheme="minorHAnsi"/>
          <w:sz w:val="16"/>
          <w:szCs w:val="17"/>
        </w:rPr>
        <w:t>Articles L</w:t>
      </w:r>
      <w:r w:rsidR="005C19F0">
        <w:rPr>
          <w:rFonts w:asciiTheme="minorHAnsi" w:hAnsiTheme="minorHAnsi"/>
          <w:sz w:val="16"/>
          <w:szCs w:val="17"/>
        </w:rPr>
        <w:t xml:space="preserve">521-1 </w:t>
      </w:r>
      <w:r>
        <w:rPr>
          <w:rFonts w:asciiTheme="minorHAnsi" w:hAnsiTheme="minorHAnsi"/>
          <w:sz w:val="16"/>
          <w:szCs w:val="17"/>
        </w:rPr>
        <w:t xml:space="preserve">à </w:t>
      </w:r>
      <w:r w:rsidR="005C19F0">
        <w:rPr>
          <w:rFonts w:asciiTheme="minorHAnsi" w:hAnsiTheme="minorHAnsi"/>
          <w:sz w:val="16"/>
          <w:szCs w:val="17"/>
        </w:rPr>
        <w:t>L521-</w:t>
      </w:r>
      <w:r>
        <w:rPr>
          <w:rFonts w:asciiTheme="minorHAnsi" w:hAnsiTheme="minorHAnsi"/>
          <w:sz w:val="16"/>
          <w:szCs w:val="17"/>
        </w:rPr>
        <w:t>5 du Code général de la fonction publique</w:t>
      </w:r>
      <w:r w:rsidR="003E5F85">
        <w:rPr>
          <w:rFonts w:asciiTheme="minorHAnsi" w:hAnsiTheme="minorHAnsi"/>
          <w:sz w:val="16"/>
          <w:szCs w:val="17"/>
        </w:rPr>
        <w:t>,</w:t>
      </w:r>
    </w:p>
    <w:p w:rsidR="005C19F0" w:rsidRPr="005C19F0" w:rsidRDefault="000D1F12" w:rsidP="005C19F0">
      <w:pPr>
        <w:pStyle w:val="Paragraphedeliste"/>
        <w:numPr>
          <w:ilvl w:val="0"/>
          <w:numId w:val="1"/>
        </w:numPr>
        <w:ind w:left="425"/>
        <w:jc w:val="both"/>
        <w:rPr>
          <w:rFonts w:asciiTheme="minorHAnsi" w:hAnsiTheme="minorHAnsi"/>
          <w:sz w:val="16"/>
          <w:szCs w:val="17"/>
        </w:rPr>
      </w:pPr>
      <w:hyperlink r:id="rId8" w:history="1">
        <w:r w:rsidR="005C19F0" w:rsidRPr="005C19F0">
          <w:rPr>
            <w:rFonts w:asciiTheme="minorHAnsi" w:hAnsiTheme="minorHAnsi"/>
            <w:sz w:val="16"/>
            <w:szCs w:val="17"/>
          </w:rPr>
          <w:t>Décret n° 2014-1526 du 16 décembre 2014 relatif à l’appréciation de la valeur professionnelle des fonctionnaires territoriaux</w:t>
        </w:r>
      </w:hyperlink>
    </w:p>
    <w:p w:rsidR="005C19F0" w:rsidRPr="005C19F0" w:rsidRDefault="000D1F12" w:rsidP="005C19F0">
      <w:pPr>
        <w:pStyle w:val="Paragraphedeliste"/>
        <w:numPr>
          <w:ilvl w:val="0"/>
          <w:numId w:val="1"/>
        </w:numPr>
        <w:ind w:left="425"/>
        <w:jc w:val="both"/>
        <w:rPr>
          <w:rFonts w:asciiTheme="minorHAnsi" w:hAnsiTheme="minorHAnsi"/>
          <w:sz w:val="16"/>
          <w:szCs w:val="17"/>
        </w:rPr>
      </w:pPr>
      <w:hyperlink r:id="rId9" w:history="1">
        <w:r w:rsidR="005C19F0" w:rsidRPr="005C19F0">
          <w:rPr>
            <w:rFonts w:asciiTheme="minorHAnsi" w:hAnsiTheme="minorHAnsi"/>
            <w:sz w:val="16"/>
            <w:szCs w:val="17"/>
          </w:rPr>
          <w:t>Décret n°88-145 du 15 février 1988 relatif aux agents non titulaires de la FPT</w:t>
        </w:r>
      </w:hyperlink>
    </w:p>
    <w:p w:rsidR="005C19F0" w:rsidRPr="005C19F0" w:rsidRDefault="005C19F0" w:rsidP="005C19F0">
      <w:pPr>
        <w:pStyle w:val="Paragraphedeliste"/>
        <w:numPr>
          <w:ilvl w:val="0"/>
          <w:numId w:val="1"/>
        </w:numPr>
        <w:ind w:left="425"/>
        <w:jc w:val="both"/>
        <w:rPr>
          <w:rFonts w:asciiTheme="minorHAnsi" w:hAnsiTheme="minorHAnsi"/>
          <w:sz w:val="16"/>
          <w:szCs w:val="17"/>
        </w:rPr>
      </w:pPr>
      <w:r w:rsidRPr="005C19F0">
        <w:rPr>
          <w:rFonts w:asciiTheme="minorHAnsi" w:hAnsiTheme="minorHAnsi"/>
          <w:sz w:val="16"/>
          <w:szCs w:val="17"/>
        </w:rPr>
        <w:t>Circulaire du 6 août 2010 relative à l’entretien professionnel dans les collectivités territoriales</w:t>
      </w:r>
    </w:p>
    <w:p w:rsidR="00CC34BF" w:rsidRDefault="00BB09A1" w:rsidP="00C74B9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</w:t>
      </w:r>
      <w:r w:rsidR="00D67604">
        <w:rPr>
          <w:rFonts w:ascii="Calibri" w:hAnsi="Calibri"/>
          <w:b/>
          <w:bCs/>
          <w:smallCaps/>
          <w:sz w:val="22"/>
          <w:szCs w:val="22"/>
          <w:u w:val="single"/>
        </w:rPr>
        <w:t>/Etablissement public</w:t>
      </w:r>
      <w:r w:rsidR="00CC34BF" w:rsidRPr="0099329E">
        <w:rPr>
          <w:rFonts w:ascii="Calibri" w:hAnsi="Calibri"/>
          <w:sz w:val="22"/>
          <w:szCs w:val="22"/>
        </w:rPr>
        <w:t xml:space="preserve"> :</w:t>
      </w:r>
      <w:r w:rsidR="00CC34BF" w:rsidRPr="00EF0FE9">
        <w:rPr>
          <w:rFonts w:ascii="Calibri" w:hAnsi="Calibri"/>
          <w:sz w:val="22"/>
          <w:szCs w:val="22"/>
        </w:rPr>
        <w:t xml:space="preserve"> </w:t>
      </w:r>
      <w:r w:rsidR="00CC34BF" w:rsidRPr="00126A13">
        <w:rPr>
          <w:rFonts w:ascii="Calibri" w:hAnsi="Calibri"/>
          <w:sz w:val="20"/>
          <w:szCs w:val="22"/>
        </w:rPr>
        <w:tab/>
      </w:r>
    </w:p>
    <w:p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ab/>
      </w:r>
      <w:r w:rsidR="00C74B9D">
        <w:rPr>
          <w:rFonts w:ascii="Calibri" w:hAnsi="Calibri"/>
          <w:sz w:val="20"/>
          <w:szCs w:val="20"/>
        </w:rPr>
        <w:t>Ville</w:t>
      </w:r>
      <w:r w:rsidR="00556B92" w:rsidRPr="004F2635">
        <w:rPr>
          <w:rFonts w:ascii="Calibri" w:hAnsi="Calibri"/>
          <w:sz w:val="20"/>
          <w:szCs w:val="20"/>
        </w:rPr>
        <w:t> :</w:t>
      </w:r>
      <w:r w:rsidR="00556B92" w:rsidRPr="004F2635">
        <w:rPr>
          <w:rFonts w:ascii="Calibri" w:hAnsi="Calibri"/>
          <w:sz w:val="20"/>
          <w:szCs w:val="20"/>
        </w:rPr>
        <w:tab/>
      </w:r>
    </w:p>
    <w:p w:rsidR="00136C18" w:rsidRPr="004F2635" w:rsidRDefault="00136C18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Nombre d’habitants : </w:t>
      </w:r>
      <w:r w:rsidRPr="004F2635">
        <w:rPr>
          <w:rFonts w:ascii="Calibri" w:hAnsi="Calibri"/>
          <w:sz w:val="20"/>
          <w:szCs w:val="20"/>
        </w:rPr>
        <w:tab/>
      </w:r>
    </w:p>
    <w:p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Personne en charge du dossier </w:t>
      </w:r>
      <w:r w:rsidRPr="004F2635">
        <w:rPr>
          <w:rFonts w:ascii="Calibri" w:hAnsi="Calibri"/>
          <w:sz w:val="20"/>
          <w:szCs w:val="20"/>
        </w:rPr>
        <w:tab/>
      </w:r>
    </w:p>
    <w:p w:rsidR="008A4930" w:rsidRPr="004F2635" w:rsidRDefault="008A4930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sym w:font="Wingdings" w:char="F028"/>
      </w:r>
      <w:r w:rsidRPr="004F2635">
        <w:rPr>
          <w:rFonts w:ascii="Calibri" w:hAnsi="Calibri"/>
          <w:sz w:val="20"/>
          <w:szCs w:val="20"/>
        </w:rPr>
        <w:t> : 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.../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….../…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="00DC4FBA">
        <w:rPr>
          <w:rFonts w:ascii="Calibri" w:hAnsi="Calibri"/>
          <w:sz w:val="20"/>
          <w:szCs w:val="20"/>
        </w:rPr>
        <w:t>...</w:t>
      </w:r>
      <w:r w:rsidR="001926A2" w:rsidRPr="004F2635">
        <w:rPr>
          <w:rFonts w:ascii="Calibri" w:hAnsi="Calibri"/>
          <w:sz w:val="20"/>
          <w:szCs w:val="20"/>
        </w:rPr>
        <w:tab/>
        <w:t xml:space="preserve">Mail : </w:t>
      </w:r>
      <w:r w:rsidR="001926A2" w:rsidRPr="004F2635">
        <w:rPr>
          <w:rFonts w:ascii="Calibri" w:hAnsi="Calibri"/>
          <w:sz w:val="20"/>
          <w:szCs w:val="20"/>
        </w:rPr>
        <w:tab/>
      </w:r>
    </w:p>
    <w:p w:rsidR="00CC34BF" w:rsidRPr="004F2635" w:rsidRDefault="00CC34BF" w:rsidP="00191351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119"/>
          <w:tab w:val="left" w:pos="5245"/>
          <w:tab w:val="left" w:pos="7513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>Nom</w:t>
      </w:r>
      <w:r w:rsidR="00B739F2" w:rsidRPr="004F2635">
        <w:rPr>
          <w:rFonts w:ascii="Calibri" w:hAnsi="Calibri"/>
          <w:sz w:val="20"/>
          <w:szCs w:val="20"/>
        </w:rPr>
        <w:t xml:space="preserve">bre d’agents : </w:t>
      </w:r>
      <w:r w:rsidR="00191351">
        <w:rPr>
          <w:rFonts w:ascii="Calibri" w:hAnsi="Calibri"/>
          <w:sz w:val="20"/>
          <w:szCs w:val="20"/>
        </w:rPr>
        <w:t xml:space="preserve">…………     </w:t>
      </w:r>
      <w:proofErr w:type="gramStart"/>
      <w:r w:rsidR="00191351">
        <w:rPr>
          <w:rFonts w:ascii="Calibri" w:hAnsi="Calibri"/>
          <w:sz w:val="20"/>
          <w:szCs w:val="20"/>
        </w:rPr>
        <w:t>dont</w:t>
      </w:r>
      <w:proofErr w:type="gramEnd"/>
      <w:r w:rsidR="00191351">
        <w:rPr>
          <w:rFonts w:ascii="Calibri" w:hAnsi="Calibri"/>
          <w:sz w:val="20"/>
          <w:szCs w:val="20"/>
        </w:rPr>
        <w:t xml:space="preserve"> </w:t>
      </w:r>
      <w:r w:rsidR="00191351">
        <w:rPr>
          <w:rFonts w:ascii="Calibri" w:hAnsi="Calibri"/>
          <w:sz w:val="20"/>
          <w:szCs w:val="20"/>
        </w:rPr>
        <w:tab/>
      </w:r>
      <w:r w:rsidR="00B739F2" w:rsidRPr="004F2635">
        <w:rPr>
          <w:rFonts w:ascii="Calibri" w:hAnsi="Calibri"/>
          <w:sz w:val="20"/>
          <w:szCs w:val="20"/>
        </w:rPr>
        <w:t>T</w:t>
      </w:r>
      <w:r w:rsidRPr="004F2635">
        <w:rPr>
          <w:rFonts w:ascii="Calibri" w:hAnsi="Calibri"/>
          <w:sz w:val="20"/>
          <w:szCs w:val="20"/>
        </w:rPr>
        <w:t>itulaires : …</w:t>
      </w:r>
      <w:r w:rsidR="008A4930" w:rsidRPr="004F2635">
        <w:rPr>
          <w:rFonts w:ascii="Calibri" w:hAnsi="Calibri"/>
          <w:sz w:val="20"/>
          <w:szCs w:val="20"/>
        </w:rPr>
        <w:t>…..</w:t>
      </w:r>
      <w:r w:rsidRPr="004F2635">
        <w:rPr>
          <w:rFonts w:ascii="Calibri" w:hAnsi="Calibri"/>
          <w:sz w:val="20"/>
          <w:szCs w:val="20"/>
        </w:rPr>
        <w:tab/>
        <w:t>Stagiaires : …</w:t>
      </w:r>
      <w:r w:rsidR="008A4930" w:rsidRPr="004F2635">
        <w:rPr>
          <w:rFonts w:ascii="Calibri" w:hAnsi="Calibri"/>
          <w:sz w:val="20"/>
          <w:szCs w:val="20"/>
        </w:rPr>
        <w:t>….</w:t>
      </w:r>
      <w:r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</w:r>
      <w:r w:rsidR="006A3EB7" w:rsidRPr="004F2635">
        <w:rPr>
          <w:rFonts w:ascii="Calibri" w:hAnsi="Calibri"/>
          <w:sz w:val="20"/>
          <w:szCs w:val="20"/>
        </w:rPr>
        <w:t>Contractuels</w:t>
      </w:r>
      <w:r w:rsidRPr="004F2635">
        <w:rPr>
          <w:rFonts w:ascii="Calibri" w:hAnsi="Calibri"/>
          <w:sz w:val="20"/>
          <w:szCs w:val="20"/>
        </w:rPr>
        <w:t xml:space="preserve">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</w:t>
      </w:r>
      <w:r w:rsidRPr="004F2635">
        <w:rPr>
          <w:rFonts w:ascii="Calibri" w:hAnsi="Calibri"/>
          <w:sz w:val="20"/>
          <w:szCs w:val="20"/>
        </w:rPr>
        <w:t>.</w:t>
      </w:r>
      <w:proofErr w:type="gramEnd"/>
      <w:r w:rsidRPr="004F2635">
        <w:rPr>
          <w:rFonts w:ascii="Calibri" w:hAnsi="Calibri"/>
          <w:sz w:val="20"/>
          <w:szCs w:val="20"/>
        </w:rPr>
        <w:t xml:space="preserve">. </w:t>
      </w:r>
    </w:p>
    <w:p w:rsidR="00136C18" w:rsidRPr="00654A12" w:rsidRDefault="00136C18" w:rsidP="00176A96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214"/>
        </w:tabs>
        <w:ind w:right="-284"/>
        <w:rPr>
          <w:rFonts w:ascii="Calibri" w:hAnsi="Calibri"/>
          <w:sz w:val="12"/>
          <w:szCs w:val="22"/>
        </w:rPr>
      </w:pPr>
    </w:p>
    <w:p w:rsidR="00896446" w:rsidRPr="00BC1A8D" w:rsidRDefault="005C19F0" w:rsidP="00191351">
      <w:pPr>
        <w:pStyle w:val="Paragraphedeliste"/>
        <w:numPr>
          <w:ilvl w:val="0"/>
          <w:numId w:val="21"/>
        </w:numPr>
        <w:spacing w:before="120"/>
        <w:ind w:left="425" w:right="-283" w:hanging="357"/>
        <w:contextualSpacing w:val="0"/>
        <w:jc w:val="both"/>
        <w:rPr>
          <w:rFonts w:asciiTheme="minorHAnsi" w:hAnsiTheme="minorHAnsi"/>
          <w:b/>
          <w:sz w:val="20"/>
          <w:szCs w:val="22"/>
        </w:rPr>
      </w:pPr>
      <w:r w:rsidRPr="005C19F0">
        <w:rPr>
          <w:rFonts w:asciiTheme="minorHAnsi" w:hAnsiTheme="minorHAnsi"/>
          <w:b/>
          <w:sz w:val="22"/>
          <w:szCs w:val="22"/>
        </w:rPr>
        <w:t xml:space="preserve">Les critères </w:t>
      </w:r>
      <w:r w:rsidR="00191351" w:rsidRPr="00BC1A8D">
        <w:rPr>
          <w:rFonts w:asciiTheme="minorHAnsi" w:hAnsiTheme="minorHAnsi"/>
          <w:sz w:val="20"/>
          <w:szCs w:val="22"/>
        </w:rPr>
        <w:t>à partir desquels la valeur professionnelle de l’agent</w:t>
      </w:r>
      <w:r w:rsidR="008718B1" w:rsidRPr="00BC1A8D">
        <w:rPr>
          <w:rFonts w:asciiTheme="minorHAnsi" w:hAnsiTheme="minorHAnsi"/>
          <w:sz w:val="20"/>
          <w:szCs w:val="22"/>
        </w:rPr>
        <w:t xml:space="preserve"> est appréciée </w:t>
      </w:r>
      <w:r w:rsidR="00191351" w:rsidRPr="00BC1A8D">
        <w:rPr>
          <w:rFonts w:asciiTheme="minorHAnsi" w:hAnsiTheme="minorHAnsi"/>
          <w:sz w:val="20"/>
          <w:szCs w:val="22"/>
        </w:rPr>
        <w:t>sont fonction de la nature des tâches qui lui sont confiées et du niveau de responsabilité assumé</w:t>
      </w:r>
      <w:r w:rsidRPr="00BC1A8D">
        <w:rPr>
          <w:rFonts w:asciiTheme="minorHAnsi" w:hAnsiTheme="minorHAnsi"/>
          <w:sz w:val="20"/>
          <w:szCs w:val="22"/>
        </w:rPr>
        <w:t xml:space="preserve">. Une fiche </w:t>
      </w:r>
      <w:r w:rsidR="009A353C" w:rsidRPr="00BC1A8D">
        <w:rPr>
          <w:rFonts w:asciiTheme="minorHAnsi" w:hAnsiTheme="minorHAnsi"/>
          <w:sz w:val="20"/>
          <w:szCs w:val="22"/>
        </w:rPr>
        <w:t xml:space="preserve">critère </w:t>
      </w:r>
      <w:r w:rsidRPr="00BC1A8D">
        <w:rPr>
          <w:rFonts w:asciiTheme="minorHAnsi" w:hAnsiTheme="minorHAnsi"/>
          <w:sz w:val="20"/>
          <w:szCs w:val="22"/>
        </w:rPr>
        <w:t xml:space="preserve">doit être établie par </w:t>
      </w:r>
      <w:r w:rsidR="009A353C" w:rsidRPr="00BC1A8D">
        <w:rPr>
          <w:rFonts w:asciiTheme="minorHAnsi" w:hAnsiTheme="minorHAnsi"/>
          <w:sz w:val="20"/>
          <w:szCs w:val="22"/>
        </w:rPr>
        <w:t>poste/</w:t>
      </w:r>
      <w:r w:rsidRPr="00BC1A8D">
        <w:rPr>
          <w:rFonts w:asciiTheme="minorHAnsi" w:hAnsiTheme="minorHAnsi"/>
          <w:sz w:val="20"/>
          <w:szCs w:val="22"/>
        </w:rPr>
        <w:t>emploi</w:t>
      </w:r>
      <w:r w:rsidR="009A353C" w:rsidRPr="00BC1A8D">
        <w:rPr>
          <w:rFonts w:asciiTheme="minorHAnsi" w:hAnsiTheme="minorHAnsi"/>
          <w:sz w:val="20"/>
          <w:szCs w:val="22"/>
        </w:rPr>
        <w:t>.</w:t>
      </w:r>
    </w:p>
    <w:p w:rsidR="005C19F0" w:rsidRPr="005C19F0" w:rsidRDefault="00191351" w:rsidP="00191351">
      <w:pPr>
        <w:pStyle w:val="Paragraphedeliste"/>
        <w:numPr>
          <w:ilvl w:val="0"/>
          <w:numId w:val="21"/>
        </w:numPr>
        <w:tabs>
          <w:tab w:val="right" w:leader="dot" w:pos="8789"/>
        </w:tabs>
        <w:spacing w:before="120" w:after="180"/>
        <w:ind w:left="425" w:right="-283" w:hanging="35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Intitulé du poste : </w:t>
      </w: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Grilledutableau"/>
        <w:tblW w:w="9493" w:type="dxa"/>
        <w:tblLook w:val="01E0" w:firstRow="1" w:lastRow="1" w:firstColumn="1" w:lastColumn="1" w:noHBand="0" w:noVBand="0"/>
      </w:tblPr>
      <w:tblGrid>
        <w:gridCol w:w="3348"/>
        <w:gridCol w:w="6145"/>
      </w:tblGrid>
      <w:tr w:rsidR="005C19F0" w:rsidRPr="004017A5" w:rsidTr="008718B1">
        <w:trPr>
          <w:trHeight w:val="680"/>
        </w:trPr>
        <w:tc>
          <w:tcPr>
            <w:tcW w:w="3348" w:type="dxa"/>
            <w:shd w:val="clear" w:color="auto" w:fill="E0E0E0"/>
            <w:vAlign w:val="center"/>
          </w:tcPr>
          <w:p w:rsidR="005C19F0" w:rsidRPr="004017A5" w:rsidRDefault="00127A93" w:rsidP="009A353C">
            <w:pPr>
              <w:jc w:val="center"/>
              <w:rPr>
                <w:b/>
              </w:rPr>
            </w:pPr>
            <w:r>
              <w:rPr>
                <w:b/>
              </w:rPr>
              <w:t>Les c</w:t>
            </w:r>
            <w:r w:rsidR="005C19F0">
              <w:rPr>
                <w:b/>
              </w:rPr>
              <w:t xml:space="preserve">ritères </w:t>
            </w:r>
            <w:r>
              <w:rPr>
                <w:b/>
              </w:rPr>
              <w:t>doivent porter sur les thématiques suivantes</w:t>
            </w:r>
          </w:p>
        </w:tc>
        <w:tc>
          <w:tcPr>
            <w:tcW w:w="6145" w:type="dxa"/>
            <w:shd w:val="clear" w:color="auto" w:fill="E0E0E0"/>
            <w:vAlign w:val="center"/>
          </w:tcPr>
          <w:p w:rsidR="005C19F0" w:rsidRPr="004017A5" w:rsidRDefault="005C19F0" w:rsidP="009A353C">
            <w:pPr>
              <w:jc w:val="center"/>
              <w:rPr>
                <w:b/>
              </w:rPr>
            </w:pPr>
          </w:p>
          <w:p w:rsidR="005C19F0" w:rsidRDefault="005C19F0" w:rsidP="009A353C">
            <w:pPr>
              <w:jc w:val="center"/>
              <w:rPr>
                <w:b/>
              </w:rPr>
            </w:pPr>
            <w:r>
              <w:rPr>
                <w:b/>
              </w:rPr>
              <w:t>Déclinaison des critères</w:t>
            </w:r>
          </w:p>
          <w:p w:rsidR="005C19F0" w:rsidRPr="004017A5" w:rsidRDefault="005C19F0" w:rsidP="009A353C">
            <w:pPr>
              <w:jc w:val="center"/>
              <w:rPr>
                <w:b/>
              </w:rPr>
            </w:pPr>
          </w:p>
        </w:tc>
      </w:tr>
      <w:tr w:rsidR="005C19F0" w:rsidTr="008718B1">
        <w:trPr>
          <w:trHeight w:val="1474"/>
        </w:trPr>
        <w:tc>
          <w:tcPr>
            <w:tcW w:w="3348" w:type="dxa"/>
          </w:tcPr>
          <w:p w:rsidR="005C19F0" w:rsidRDefault="005C19F0" w:rsidP="00813F4C"/>
          <w:p w:rsidR="005C19F0" w:rsidRDefault="005C19F0" w:rsidP="00813F4C">
            <w:r>
              <w:t>L</w:t>
            </w:r>
            <w:r w:rsidR="00127A93">
              <w:t xml:space="preserve">es résultats professionnels obtenus par l’agent </w:t>
            </w:r>
            <w:r>
              <w:t>et la réalisation des objectifs </w:t>
            </w:r>
          </w:p>
          <w:p w:rsidR="005C19F0" w:rsidRDefault="005C19F0" w:rsidP="00813F4C"/>
        </w:tc>
        <w:tc>
          <w:tcPr>
            <w:tcW w:w="6145" w:type="dxa"/>
          </w:tcPr>
          <w:p w:rsidR="005C19F0" w:rsidRPr="000D1F12" w:rsidRDefault="005C19F0" w:rsidP="00127A93">
            <w:pPr>
              <w:spacing w:before="80"/>
              <w:rPr>
                <w:sz w:val="20"/>
              </w:rPr>
            </w:pPr>
            <w: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5C19F0" w:rsidRPr="000D1F12" w:rsidRDefault="005C19F0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127A93" w:rsidRDefault="005C19F0" w:rsidP="00127A93">
            <w:pPr>
              <w:spacing w:before="80"/>
            </w:pPr>
            <w:r w:rsidRPr="000D1F12">
              <w:rPr>
                <w:sz w:val="20"/>
              </w:rPr>
              <w:t>-</w:t>
            </w:r>
          </w:p>
        </w:tc>
      </w:tr>
      <w:tr w:rsidR="005C19F0" w:rsidTr="008718B1">
        <w:trPr>
          <w:trHeight w:val="1474"/>
        </w:trPr>
        <w:tc>
          <w:tcPr>
            <w:tcW w:w="3348" w:type="dxa"/>
            <w:vAlign w:val="center"/>
          </w:tcPr>
          <w:p w:rsidR="005C19F0" w:rsidRDefault="005C19F0" w:rsidP="00127A93">
            <w:r>
              <w:t>Les compétences professionnelles et techniques</w:t>
            </w:r>
          </w:p>
          <w:p w:rsidR="005C19F0" w:rsidRDefault="005C19F0" w:rsidP="00127A93"/>
        </w:tc>
        <w:tc>
          <w:tcPr>
            <w:tcW w:w="6145" w:type="dxa"/>
          </w:tcPr>
          <w:p w:rsidR="00127A93" w:rsidRPr="000D1F12" w:rsidRDefault="005C19F0" w:rsidP="00127A93">
            <w:pPr>
              <w:spacing w:before="80"/>
              <w:rPr>
                <w:sz w:val="20"/>
              </w:rPr>
            </w:pPr>
            <w: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  <w:bookmarkStart w:id="0" w:name="_GoBack"/>
            <w:bookmarkEnd w:id="0"/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5C19F0" w:rsidRDefault="00127A93" w:rsidP="00127A93">
            <w:r w:rsidRPr="000D1F12">
              <w:rPr>
                <w:sz w:val="20"/>
              </w:rPr>
              <w:t>-</w:t>
            </w:r>
          </w:p>
        </w:tc>
      </w:tr>
      <w:tr w:rsidR="005C19F0" w:rsidTr="008718B1">
        <w:trPr>
          <w:trHeight w:val="1474"/>
        </w:trPr>
        <w:tc>
          <w:tcPr>
            <w:tcW w:w="3348" w:type="dxa"/>
            <w:vAlign w:val="center"/>
          </w:tcPr>
          <w:p w:rsidR="005C19F0" w:rsidRDefault="005C19F0" w:rsidP="00127A93">
            <w:r>
              <w:t>Les qualités relationnelles</w:t>
            </w:r>
          </w:p>
        </w:tc>
        <w:tc>
          <w:tcPr>
            <w:tcW w:w="6145" w:type="dxa"/>
          </w:tcPr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5C19F0" w:rsidRDefault="00127A93" w:rsidP="00127A93">
            <w:r w:rsidRPr="000D1F12">
              <w:rPr>
                <w:sz w:val="20"/>
              </w:rPr>
              <w:t xml:space="preserve">- </w:t>
            </w:r>
          </w:p>
        </w:tc>
      </w:tr>
      <w:tr w:rsidR="005C19F0" w:rsidTr="008718B1">
        <w:trPr>
          <w:trHeight w:val="1474"/>
        </w:trPr>
        <w:tc>
          <w:tcPr>
            <w:tcW w:w="3348" w:type="dxa"/>
            <w:vAlign w:val="center"/>
          </w:tcPr>
          <w:p w:rsidR="005C19F0" w:rsidRDefault="005C19F0" w:rsidP="00127A93">
            <w:r>
              <w:t>L</w:t>
            </w:r>
            <w:r w:rsidR="00127A93">
              <w:t>a capacité d’encadrement ou d’expertise</w:t>
            </w:r>
            <w:r>
              <w:t xml:space="preserve"> </w:t>
            </w:r>
            <w:r w:rsidR="00127A93">
              <w:t xml:space="preserve">ou, le </w:t>
            </w:r>
            <w:r>
              <w:t>cas échéant, à exercer des fonctions d’un niveau supérieur</w:t>
            </w:r>
          </w:p>
          <w:p w:rsidR="005C19F0" w:rsidRDefault="005C19F0" w:rsidP="00127A93"/>
        </w:tc>
        <w:tc>
          <w:tcPr>
            <w:tcW w:w="6145" w:type="dxa"/>
          </w:tcPr>
          <w:p w:rsidR="00127A93" w:rsidRPr="000D1F12" w:rsidRDefault="005C19F0" w:rsidP="00127A93">
            <w:pPr>
              <w:spacing w:before="80"/>
              <w:rPr>
                <w:sz w:val="20"/>
              </w:rPr>
            </w:pPr>
            <w: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127A93" w:rsidRPr="000D1F12" w:rsidRDefault="00127A93" w:rsidP="00127A93">
            <w:pPr>
              <w:spacing w:before="80"/>
              <w:rPr>
                <w:sz w:val="20"/>
              </w:rPr>
            </w:pPr>
            <w:r w:rsidRPr="000D1F12">
              <w:rPr>
                <w:sz w:val="20"/>
              </w:rPr>
              <w:t>-</w:t>
            </w:r>
          </w:p>
          <w:p w:rsidR="005C19F0" w:rsidRDefault="00127A93" w:rsidP="00127A93">
            <w:r w:rsidRPr="000D1F12">
              <w:rPr>
                <w:sz w:val="20"/>
              </w:rPr>
              <w:t>-</w:t>
            </w:r>
          </w:p>
        </w:tc>
      </w:tr>
    </w:tbl>
    <w:p w:rsidR="005C19F0" w:rsidRPr="00191351" w:rsidRDefault="005C19F0" w:rsidP="00191351">
      <w:pPr>
        <w:spacing w:after="0" w:line="240" w:lineRule="auto"/>
        <w:jc w:val="both"/>
        <w:rPr>
          <w:rFonts w:asciiTheme="minorHAnsi" w:hAnsiTheme="minorHAnsi"/>
          <w:b/>
          <w:sz w:val="16"/>
          <w:szCs w:val="18"/>
        </w:rPr>
      </w:pPr>
    </w:p>
    <w:p w:rsidR="00654A12" w:rsidRPr="003E5F85" w:rsidRDefault="00DB7F35" w:rsidP="00191351">
      <w:pPr>
        <w:pStyle w:val="Paragraphedeliste"/>
        <w:numPr>
          <w:ilvl w:val="0"/>
          <w:numId w:val="21"/>
        </w:numPr>
        <w:ind w:left="425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3E5F85">
        <w:rPr>
          <w:rFonts w:asciiTheme="minorHAnsi" w:hAnsiTheme="minorHAnsi"/>
          <w:b/>
          <w:sz w:val="22"/>
          <w:szCs w:val="22"/>
        </w:rPr>
        <w:t>Date d’effet</w:t>
      </w:r>
      <w:r w:rsidR="00654A12" w:rsidRPr="003E5F85">
        <w:rPr>
          <w:rFonts w:asciiTheme="minorHAnsi" w:hAnsiTheme="minorHAnsi"/>
          <w:b/>
          <w:sz w:val="22"/>
          <w:szCs w:val="22"/>
        </w:rPr>
        <w:t xml:space="preserve"> : </w:t>
      </w:r>
      <w:r w:rsidR="00654A12" w:rsidRPr="00BC1A8D">
        <w:rPr>
          <w:rFonts w:asciiTheme="minorHAnsi" w:hAnsiTheme="minorHAnsi"/>
          <w:sz w:val="20"/>
          <w:szCs w:val="22"/>
        </w:rPr>
        <w:t xml:space="preserve">A compter du </w:t>
      </w:r>
      <w:proofErr w:type="gramStart"/>
      <w:r w:rsidR="00654A12" w:rsidRPr="00BC1A8D">
        <w:rPr>
          <w:rFonts w:asciiTheme="minorHAnsi" w:hAnsiTheme="minorHAnsi"/>
          <w:sz w:val="20"/>
          <w:szCs w:val="22"/>
        </w:rPr>
        <w:t>…….</w:t>
      </w:r>
      <w:proofErr w:type="gramEnd"/>
      <w:r w:rsidR="00654A12" w:rsidRPr="00BC1A8D">
        <w:rPr>
          <w:rFonts w:asciiTheme="minorHAnsi" w:hAnsiTheme="minorHAnsi"/>
          <w:sz w:val="20"/>
          <w:szCs w:val="22"/>
        </w:rPr>
        <w:t xml:space="preserve">.…./…………./20……….. </w:t>
      </w:r>
      <w:r w:rsidR="00654A12" w:rsidRPr="003E5F85">
        <w:rPr>
          <w:rFonts w:asciiTheme="minorHAnsi" w:hAnsiTheme="minorHAnsi"/>
          <w:sz w:val="18"/>
          <w:szCs w:val="22"/>
        </w:rPr>
        <w:t>(</w:t>
      </w:r>
      <w:r w:rsidR="00654A12" w:rsidRPr="003E5F85">
        <w:rPr>
          <w:rFonts w:asciiTheme="minorHAnsi" w:hAnsiTheme="minorHAnsi"/>
          <w:b/>
          <w:i/>
          <w:sz w:val="18"/>
          <w:szCs w:val="22"/>
        </w:rPr>
        <w:t>APRES avis du CT et délibération</w:t>
      </w:r>
      <w:r w:rsidR="00654A12" w:rsidRPr="003E5F85">
        <w:rPr>
          <w:rFonts w:asciiTheme="minorHAnsi" w:hAnsiTheme="minorHAnsi"/>
          <w:b/>
          <w:sz w:val="18"/>
          <w:szCs w:val="22"/>
        </w:rPr>
        <w:t>)</w:t>
      </w:r>
    </w:p>
    <w:p w:rsidR="00654A12" w:rsidRPr="00B65698" w:rsidRDefault="00654A12" w:rsidP="00654A12">
      <w:pPr>
        <w:pStyle w:val="Default"/>
        <w:rPr>
          <w:rFonts w:ascii="Calibri" w:hAnsi="Calibri"/>
          <w:b/>
          <w:sz w:val="18"/>
          <w:szCs w:val="22"/>
          <w:u w:val="single"/>
        </w:rPr>
      </w:pPr>
    </w:p>
    <w:p w:rsidR="00654A12" w:rsidRPr="001F0A8F" w:rsidRDefault="00BC1A8D" w:rsidP="00BC1A8D">
      <w:pPr>
        <w:pStyle w:val="Default"/>
        <w:tabs>
          <w:tab w:val="left" w:pos="4536"/>
        </w:tabs>
        <w:rPr>
          <w:rFonts w:ascii="Calibri" w:hAnsi="Calibri"/>
          <w:sz w:val="22"/>
          <w:szCs w:val="22"/>
        </w:rPr>
      </w:pPr>
      <w:r w:rsidRPr="00BC1A8D">
        <w:rPr>
          <w:rFonts w:ascii="Calibri" w:hAnsi="Calibri"/>
          <w:sz w:val="20"/>
          <w:szCs w:val="22"/>
        </w:rPr>
        <w:t xml:space="preserve">Documents à joindre : </w:t>
      </w:r>
      <w:r>
        <w:rPr>
          <w:rFonts w:ascii="Calibri" w:hAnsi="Calibri"/>
          <w:sz w:val="22"/>
          <w:szCs w:val="22"/>
        </w:rPr>
        <w:tab/>
      </w:r>
      <w:r w:rsidR="00654A12">
        <w:rPr>
          <w:rFonts w:ascii="Calibri" w:hAnsi="Calibri"/>
          <w:sz w:val="22"/>
          <w:szCs w:val="22"/>
        </w:rPr>
        <w:t>Fait à …………………………………… le</w:t>
      </w:r>
      <w:r w:rsidR="00654A12" w:rsidRPr="001F0A8F">
        <w:rPr>
          <w:rFonts w:ascii="Calibri" w:hAnsi="Calibri"/>
          <w:sz w:val="22"/>
          <w:szCs w:val="22"/>
        </w:rPr>
        <w:t xml:space="preserve">………………………… </w:t>
      </w:r>
    </w:p>
    <w:p w:rsidR="00BC1A8D" w:rsidRPr="00BC1A8D" w:rsidRDefault="00BC1A8D" w:rsidP="00BC1A8D">
      <w:pPr>
        <w:pStyle w:val="Default"/>
        <w:numPr>
          <w:ilvl w:val="0"/>
          <w:numId w:val="22"/>
        </w:numPr>
        <w:ind w:left="284" w:hanging="284"/>
        <w:rPr>
          <w:rFonts w:ascii="Calibri" w:hAnsi="Calibri"/>
          <w:color w:val="auto"/>
          <w:sz w:val="20"/>
          <w:szCs w:val="22"/>
        </w:rPr>
      </w:pPr>
      <w:r w:rsidRPr="00BC1A8D">
        <w:rPr>
          <w:rFonts w:ascii="Calibri" w:hAnsi="Calibri"/>
          <w:color w:val="auto"/>
          <w:sz w:val="20"/>
          <w:szCs w:val="22"/>
        </w:rPr>
        <w:t>Fiche de poste</w:t>
      </w:r>
    </w:p>
    <w:p w:rsidR="00654A12" w:rsidRPr="00BC1A8D" w:rsidRDefault="00BC1A8D" w:rsidP="00BC1A8D">
      <w:pPr>
        <w:pStyle w:val="Default"/>
        <w:numPr>
          <w:ilvl w:val="0"/>
          <w:numId w:val="22"/>
        </w:numPr>
        <w:tabs>
          <w:tab w:val="left" w:pos="4536"/>
        </w:tabs>
        <w:ind w:left="284" w:hanging="284"/>
        <w:rPr>
          <w:rFonts w:ascii="Calibri" w:hAnsi="Calibri"/>
          <w:color w:val="auto"/>
          <w:sz w:val="22"/>
          <w:szCs w:val="22"/>
        </w:rPr>
      </w:pPr>
      <w:r w:rsidRPr="00BC1A8D">
        <w:rPr>
          <w:rFonts w:ascii="Calibri" w:hAnsi="Calibri"/>
          <w:color w:val="auto"/>
          <w:sz w:val="20"/>
          <w:szCs w:val="22"/>
        </w:rPr>
        <w:t>Organigramme (</w:t>
      </w:r>
      <w:r>
        <w:rPr>
          <w:rFonts w:ascii="Calibri" w:hAnsi="Calibri"/>
          <w:color w:val="auto"/>
          <w:sz w:val="20"/>
          <w:szCs w:val="22"/>
        </w:rPr>
        <w:t>l</w:t>
      </w:r>
      <w:r w:rsidRPr="00BC1A8D">
        <w:rPr>
          <w:rFonts w:ascii="Calibri" w:hAnsi="Calibri"/>
          <w:color w:val="auto"/>
          <w:sz w:val="20"/>
          <w:szCs w:val="22"/>
        </w:rPr>
        <w:t>e cas échéant)</w:t>
      </w:r>
      <w:r>
        <w:rPr>
          <w:rFonts w:ascii="Calibri" w:hAnsi="Calibri"/>
          <w:color w:val="BFBFBF" w:themeColor="background1" w:themeShade="BF"/>
          <w:sz w:val="22"/>
          <w:szCs w:val="22"/>
        </w:rPr>
        <w:tab/>
      </w:r>
      <w:r w:rsidR="00654A12" w:rsidRPr="009B1CA4">
        <w:rPr>
          <w:rFonts w:ascii="Calibri" w:hAnsi="Calibri"/>
          <w:color w:val="BFBFBF" w:themeColor="background1" w:themeShade="BF"/>
          <w:sz w:val="22"/>
          <w:szCs w:val="22"/>
        </w:rPr>
        <w:t>Cachet et Signature de l’autorité territoriale</w:t>
      </w:r>
      <w:r>
        <w:rPr>
          <w:rFonts w:ascii="Calibri" w:hAnsi="Calibri"/>
          <w:color w:val="BFBFBF" w:themeColor="background1" w:themeShade="BF"/>
          <w:sz w:val="22"/>
          <w:szCs w:val="22"/>
        </w:rPr>
        <w:t xml:space="preserve"> </w:t>
      </w:r>
      <w:r w:rsidR="00654A12" w:rsidRPr="009B1CA4">
        <w:rPr>
          <w:rFonts w:ascii="Calibri" w:hAnsi="Calibri"/>
          <w:color w:val="BFBFBF" w:themeColor="background1" w:themeShade="BF"/>
          <w:sz w:val="22"/>
          <w:szCs w:val="22"/>
        </w:rPr>
        <w:t xml:space="preserve"> </w:t>
      </w:r>
    </w:p>
    <w:p w:rsidR="00654A12" w:rsidRDefault="00654A12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sectPr w:rsidR="00654A12" w:rsidSect="00191351">
      <w:headerReference w:type="default" r:id="rId10"/>
      <w:pgSz w:w="11906" w:h="16838"/>
      <w:pgMar w:top="709" w:right="1416" w:bottom="0" w:left="1417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6F" w:rsidRDefault="0022096F" w:rsidP="0022096F">
      <w:pPr>
        <w:spacing w:after="0" w:line="240" w:lineRule="auto"/>
      </w:pPr>
      <w:r>
        <w:separator/>
      </w:r>
    </w:p>
  </w:endnote>
  <w:end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6F" w:rsidRDefault="0022096F" w:rsidP="0022096F">
      <w:pPr>
        <w:spacing w:after="0" w:line="240" w:lineRule="auto"/>
      </w:pPr>
      <w:r>
        <w:separator/>
      </w:r>
    </w:p>
  </w:footnote>
  <w:foot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43" w:rsidRDefault="00084C38" w:rsidP="00CF2162">
    <w:pPr>
      <w:pStyle w:val="En-tte"/>
      <w:pBdr>
        <w:bottom w:val="thickThinSmallGap" w:sz="24" w:space="1" w:color="622423" w:themeColor="accent2" w:themeShade="7F"/>
      </w:pBdr>
      <w:rPr>
        <w:rFonts w:asciiTheme="minorHAnsi" w:hAnsiTheme="minorHAnsi" w:cs="Arial"/>
        <w:sz w:val="20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D10AE69" wp14:editId="43FFC072">
          <wp:simplePos x="0" y="0"/>
          <wp:positionH relativeFrom="column">
            <wp:posOffset>-785495</wp:posOffset>
          </wp:positionH>
          <wp:positionV relativeFrom="paragraph">
            <wp:posOffset>-180975</wp:posOffset>
          </wp:positionV>
          <wp:extent cx="1120140" cy="778476"/>
          <wp:effectExtent l="0" t="0" r="381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7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162">
      <w:rPr>
        <w:rFonts w:asciiTheme="minorHAnsi" w:hAnsiTheme="minorHAnsi" w:cs="Arial"/>
        <w:sz w:val="20"/>
        <w:szCs w:val="20"/>
        <w:lang w:eastAsia="fr-FR"/>
      </w:rPr>
      <w:tab/>
    </w:r>
    <w:sdt>
      <w:sdtPr>
        <w:rPr>
          <w:rFonts w:eastAsiaTheme="minorHAnsi" w:cs="Calibri"/>
          <w:color w:val="808080"/>
          <w:sz w:val="16"/>
          <w:szCs w:val="16"/>
          <w:lang w:eastAsia="fr-FR"/>
        </w:rPr>
        <w:alias w:val="Titre"/>
        <w:id w:val="77738743"/>
        <w:placeholder>
          <w:docPart w:val="3A831D99E9F44E73B1E5D1BA0F93F05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6DAE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>CDG</w:t>
        </w:r>
        <w:r w:rsidR="00CF2162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 </w:t>
        </w:r>
        <w:r w:rsidR="00226DAE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79 / </w:t>
        </w:r>
        <w:r w:rsidR="00CF2162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Expertise RH </w:t>
        </w:r>
        <w:r w:rsidR="00FE6293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/ </w:t>
        </w:r>
        <w:r w:rsidR="00CF2162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>expertise-rh</w:t>
        </w:r>
        <w:r w:rsidR="00FE6293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>@cdg79.fr</w:t>
        </w:r>
        <w:r w:rsidR="00CF2162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 </w:t>
        </w:r>
        <w:r w:rsidR="00FE6293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/ </w:t>
        </w:r>
        <w:r w:rsidR="00845890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 xml:space="preserve">MAJ </w:t>
        </w:r>
        <w:r w:rsidR="005C19F0">
          <w:rPr>
            <w:rFonts w:eastAsiaTheme="minorHAnsi" w:cs="Calibri"/>
            <w:color w:val="808080"/>
            <w:sz w:val="16"/>
            <w:szCs w:val="16"/>
            <w:lang w:eastAsia="fr-FR"/>
          </w:rPr>
          <w:t>24/05/</w:t>
        </w:r>
        <w:r w:rsidR="00DC4FBA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>20</w:t>
        </w:r>
        <w:r w:rsidR="00CF2162" w:rsidRPr="00393237">
          <w:rPr>
            <w:rFonts w:eastAsiaTheme="minorHAnsi" w:cs="Calibri"/>
            <w:color w:val="808080"/>
            <w:sz w:val="16"/>
            <w:szCs w:val="16"/>
            <w:lang w:eastAsia="fr-FR"/>
          </w:rPr>
          <w:t>2</w:t>
        </w:r>
        <w:r>
          <w:rPr>
            <w:rFonts w:eastAsiaTheme="minorHAnsi" w:cs="Calibri"/>
            <w:color w:val="808080"/>
            <w:sz w:val="16"/>
            <w:szCs w:val="16"/>
            <w:lang w:eastAsia="fr-FR"/>
          </w:rPr>
          <w:t>2</w:t>
        </w:r>
      </w:sdtContent>
    </w:sdt>
    <w:r w:rsidR="00CF2162">
      <w:rPr>
        <w:rFonts w:asciiTheme="minorHAnsi" w:hAnsiTheme="minorHAnsi" w:cs="Arial"/>
        <w:sz w:val="20"/>
        <w:szCs w:val="20"/>
        <w:lang w:eastAsia="fr-FR"/>
      </w:rPr>
      <w:tab/>
    </w:r>
  </w:p>
  <w:p w:rsidR="00CF2162" w:rsidRPr="00CE6C3C" w:rsidRDefault="00CF2162" w:rsidP="00CF2162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 xml:space="preserve">Tél : 05 49 06 31 44 (Secteur Sud : Territoires </w:t>
    </w:r>
    <w:proofErr w:type="spellStart"/>
    <w:r w:rsidRPr="00CE6C3C">
      <w:rPr>
        <w:rFonts w:eastAsiaTheme="minorHAnsi" w:cs="Calibri"/>
        <w:i/>
        <w:color w:val="808080"/>
        <w:sz w:val="14"/>
        <w:lang w:eastAsia="fr-FR"/>
      </w:rPr>
      <w:t>Mellois</w:t>
    </w:r>
    <w:proofErr w:type="spellEnd"/>
    <w:r w:rsidRPr="00CE6C3C">
      <w:rPr>
        <w:rFonts w:eastAsiaTheme="minorHAnsi" w:cs="Calibri"/>
        <w:i/>
        <w:color w:val="808080"/>
        <w:sz w:val="14"/>
        <w:lang w:eastAsia="fr-FR"/>
      </w:rPr>
      <w:t xml:space="preserve"> en Poitou et Niortais)</w:t>
    </w:r>
  </w:p>
  <w:p w:rsidR="00CF2162" w:rsidRPr="00CE6C3C" w:rsidRDefault="00CF2162" w:rsidP="00CF2162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45 (Secteur Centre : Territoires Parthenay-Gâtine, Val de Gâtine et Haut val de Sèvre)</w:t>
    </w:r>
  </w:p>
  <w:p w:rsidR="00CF2162" w:rsidRPr="00CF2162" w:rsidRDefault="00CF2162" w:rsidP="00CF2162">
    <w:pPr>
      <w:pStyle w:val="En-tt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46 (Secteur Nord : Territoires Bocage Bressuirais, Thouarsais, Airvaudais Val du Thouet</w:t>
    </w:r>
    <w:r w:rsidR="00C8276A">
      <w:rPr>
        <w:rFonts w:eastAsiaTheme="minorHAnsi" w:cs="Calibri"/>
        <w:i/>
        <w:color w:val="808080"/>
        <w:sz w:val="14"/>
        <w:lang w:eastAsia="fr-FR"/>
      </w:rPr>
      <w:t>)</w:t>
    </w:r>
  </w:p>
  <w:p w:rsidR="00654A12" w:rsidRDefault="00654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9pt;height:89.25pt" o:bullet="t">
        <v:imagedata r:id="rId1" o:title="Livre"/>
      </v:shape>
    </w:pict>
  </w:numPicBullet>
  <w:abstractNum w:abstractNumId="0" w15:restartNumberingAfterBreak="0">
    <w:nsid w:val="00E33F2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E83"/>
    <w:multiLevelType w:val="hybridMultilevel"/>
    <w:tmpl w:val="AD809FF0"/>
    <w:lvl w:ilvl="0" w:tplc="F60241E0">
      <w:start w:val="1"/>
      <w:numFmt w:val="decimal"/>
      <w:lvlText w:val="(%1)"/>
      <w:lvlJc w:val="left"/>
      <w:pPr>
        <w:ind w:left="6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4" w:hanging="360"/>
      </w:pPr>
    </w:lvl>
    <w:lvl w:ilvl="2" w:tplc="040C001B" w:tentative="1">
      <w:start w:val="1"/>
      <w:numFmt w:val="lowerRoman"/>
      <w:lvlText w:val="%3."/>
      <w:lvlJc w:val="right"/>
      <w:pPr>
        <w:ind w:left="2114" w:hanging="180"/>
      </w:pPr>
    </w:lvl>
    <w:lvl w:ilvl="3" w:tplc="040C000F" w:tentative="1">
      <w:start w:val="1"/>
      <w:numFmt w:val="decimal"/>
      <w:lvlText w:val="%4."/>
      <w:lvlJc w:val="left"/>
      <w:pPr>
        <w:ind w:left="2834" w:hanging="360"/>
      </w:pPr>
    </w:lvl>
    <w:lvl w:ilvl="4" w:tplc="040C0019" w:tentative="1">
      <w:start w:val="1"/>
      <w:numFmt w:val="lowerLetter"/>
      <w:lvlText w:val="%5."/>
      <w:lvlJc w:val="left"/>
      <w:pPr>
        <w:ind w:left="3554" w:hanging="360"/>
      </w:pPr>
    </w:lvl>
    <w:lvl w:ilvl="5" w:tplc="040C001B" w:tentative="1">
      <w:start w:val="1"/>
      <w:numFmt w:val="lowerRoman"/>
      <w:lvlText w:val="%6."/>
      <w:lvlJc w:val="right"/>
      <w:pPr>
        <w:ind w:left="4274" w:hanging="180"/>
      </w:pPr>
    </w:lvl>
    <w:lvl w:ilvl="6" w:tplc="040C000F" w:tentative="1">
      <w:start w:val="1"/>
      <w:numFmt w:val="decimal"/>
      <w:lvlText w:val="%7."/>
      <w:lvlJc w:val="left"/>
      <w:pPr>
        <w:ind w:left="4994" w:hanging="360"/>
      </w:pPr>
    </w:lvl>
    <w:lvl w:ilvl="7" w:tplc="040C0019" w:tentative="1">
      <w:start w:val="1"/>
      <w:numFmt w:val="lowerLetter"/>
      <w:lvlText w:val="%8."/>
      <w:lvlJc w:val="left"/>
      <w:pPr>
        <w:ind w:left="5714" w:hanging="360"/>
      </w:pPr>
    </w:lvl>
    <w:lvl w:ilvl="8" w:tplc="040C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0CD73710"/>
    <w:multiLevelType w:val="hybridMultilevel"/>
    <w:tmpl w:val="EF9A6C8C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7D0C"/>
    <w:multiLevelType w:val="hybridMultilevel"/>
    <w:tmpl w:val="7936A9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61B"/>
    <w:multiLevelType w:val="hybridMultilevel"/>
    <w:tmpl w:val="01AEC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4624B"/>
    <w:multiLevelType w:val="hybridMultilevel"/>
    <w:tmpl w:val="11E85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5306"/>
    <w:multiLevelType w:val="hybridMultilevel"/>
    <w:tmpl w:val="B0EA9E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055D"/>
    <w:multiLevelType w:val="hybridMultilevel"/>
    <w:tmpl w:val="51AEF02C"/>
    <w:lvl w:ilvl="0" w:tplc="951860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7FD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7253"/>
    <w:multiLevelType w:val="hybridMultilevel"/>
    <w:tmpl w:val="3DA66FA8"/>
    <w:lvl w:ilvl="0" w:tplc="040C0009">
      <w:start w:val="1"/>
      <w:numFmt w:val="bullet"/>
      <w:lvlText w:val=""/>
      <w:lvlJc w:val="left"/>
      <w:pPr>
        <w:ind w:left="8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0" w15:restartNumberingAfterBreak="0">
    <w:nsid w:val="2D9443D8"/>
    <w:multiLevelType w:val="hybridMultilevel"/>
    <w:tmpl w:val="D20235A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9C6"/>
    <w:multiLevelType w:val="hybridMultilevel"/>
    <w:tmpl w:val="988479D4"/>
    <w:lvl w:ilvl="0" w:tplc="3ED00A1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4D60007"/>
    <w:multiLevelType w:val="hybridMultilevel"/>
    <w:tmpl w:val="05E68894"/>
    <w:lvl w:ilvl="0" w:tplc="BC7469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9473FD"/>
    <w:multiLevelType w:val="hybridMultilevel"/>
    <w:tmpl w:val="F386E5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28C4"/>
    <w:multiLevelType w:val="hybridMultilevel"/>
    <w:tmpl w:val="8FE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22F48"/>
    <w:multiLevelType w:val="hybridMultilevel"/>
    <w:tmpl w:val="4DD65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7694"/>
    <w:multiLevelType w:val="hybridMultilevel"/>
    <w:tmpl w:val="8D3A5178"/>
    <w:lvl w:ilvl="0" w:tplc="5D18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A15"/>
    <w:multiLevelType w:val="hybridMultilevel"/>
    <w:tmpl w:val="DB829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30DA7"/>
    <w:multiLevelType w:val="hybridMultilevel"/>
    <w:tmpl w:val="6F349A9C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40704AA"/>
    <w:multiLevelType w:val="hybridMultilevel"/>
    <w:tmpl w:val="9BEC1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B70EF"/>
    <w:multiLevelType w:val="hybridMultilevel"/>
    <w:tmpl w:val="DB8E721E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24ED0"/>
    <w:multiLevelType w:val="hybridMultilevel"/>
    <w:tmpl w:val="AB00AC1A"/>
    <w:lvl w:ilvl="0" w:tplc="22C8D9E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18"/>
  </w:num>
  <w:num w:numId="7">
    <w:abstractNumId w:val="15"/>
  </w:num>
  <w:num w:numId="8">
    <w:abstractNumId w:val="0"/>
  </w:num>
  <w:num w:numId="9">
    <w:abstractNumId w:val="14"/>
  </w:num>
  <w:num w:numId="10">
    <w:abstractNumId w:val="7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17"/>
  </w:num>
  <w:num w:numId="18">
    <w:abstractNumId w:val="3"/>
  </w:num>
  <w:num w:numId="19">
    <w:abstractNumId w:val="21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F"/>
    <w:rsid w:val="0001372F"/>
    <w:rsid w:val="00037A5C"/>
    <w:rsid w:val="00050259"/>
    <w:rsid w:val="00075C41"/>
    <w:rsid w:val="00084C38"/>
    <w:rsid w:val="000935F7"/>
    <w:rsid w:val="000C145E"/>
    <w:rsid w:val="000D1F12"/>
    <w:rsid w:val="000D78DE"/>
    <w:rsid w:val="000E6F87"/>
    <w:rsid w:val="000F0843"/>
    <w:rsid w:val="001075BE"/>
    <w:rsid w:val="00122421"/>
    <w:rsid w:val="00126A13"/>
    <w:rsid w:val="00127A93"/>
    <w:rsid w:val="00130A4E"/>
    <w:rsid w:val="00135C2C"/>
    <w:rsid w:val="00136C18"/>
    <w:rsid w:val="001605AE"/>
    <w:rsid w:val="00176A96"/>
    <w:rsid w:val="00191351"/>
    <w:rsid w:val="001926A2"/>
    <w:rsid w:val="00194B6E"/>
    <w:rsid w:val="001A5456"/>
    <w:rsid w:val="001B19A4"/>
    <w:rsid w:val="001B2E73"/>
    <w:rsid w:val="001E6B67"/>
    <w:rsid w:val="0022096F"/>
    <w:rsid w:val="00226DAE"/>
    <w:rsid w:val="002571C4"/>
    <w:rsid w:val="002665DA"/>
    <w:rsid w:val="002C70DD"/>
    <w:rsid w:val="002D6081"/>
    <w:rsid w:val="002E7877"/>
    <w:rsid w:val="002E7BEE"/>
    <w:rsid w:val="00300554"/>
    <w:rsid w:val="00393237"/>
    <w:rsid w:val="003D75F6"/>
    <w:rsid w:val="003E0A7F"/>
    <w:rsid w:val="003E5F85"/>
    <w:rsid w:val="00411496"/>
    <w:rsid w:val="00491EB8"/>
    <w:rsid w:val="004B35D6"/>
    <w:rsid w:val="004F2635"/>
    <w:rsid w:val="004F2CA7"/>
    <w:rsid w:val="004F3E17"/>
    <w:rsid w:val="005429D2"/>
    <w:rsid w:val="00556B92"/>
    <w:rsid w:val="0056424E"/>
    <w:rsid w:val="005702B1"/>
    <w:rsid w:val="0059099C"/>
    <w:rsid w:val="005C19F0"/>
    <w:rsid w:val="005C6FAE"/>
    <w:rsid w:val="005E4254"/>
    <w:rsid w:val="0062019A"/>
    <w:rsid w:val="00631839"/>
    <w:rsid w:val="00654A12"/>
    <w:rsid w:val="00682FFF"/>
    <w:rsid w:val="0068412E"/>
    <w:rsid w:val="00686E78"/>
    <w:rsid w:val="006906DE"/>
    <w:rsid w:val="006A3EB7"/>
    <w:rsid w:val="006A4CC0"/>
    <w:rsid w:val="006D0D6B"/>
    <w:rsid w:val="006D304B"/>
    <w:rsid w:val="007148DA"/>
    <w:rsid w:val="0076006A"/>
    <w:rsid w:val="007640B3"/>
    <w:rsid w:val="00797467"/>
    <w:rsid w:val="00816D06"/>
    <w:rsid w:val="00845890"/>
    <w:rsid w:val="008718B1"/>
    <w:rsid w:val="00896446"/>
    <w:rsid w:val="008A4218"/>
    <w:rsid w:val="008A4930"/>
    <w:rsid w:val="00904F9E"/>
    <w:rsid w:val="00922D23"/>
    <w:rsid w:val="00954A6C"/>
    <w:rsid w:val="0099329E"/>
    <w:rsid w:val="00994811"/>
    <w:rsid w:val="009A353C"/>
    <w:rsid w:val="009A3D5D"/>
    <w:rsid w:val="009A7CA4"/>
    <w:rsid w:val="009B1CA4"/>
    <w:rsid w:val="00A012C4"/>
    <w:rsid w:val="00A0188D"/>
    <w:rsid w:val="00A0763C"/>
    <w:rsid w:val="00A210BC"/>
    <w:rsid w:val="00A37FEE"/>
    <w:rsid w:val="00AB61B2"/>
    <w:rsid w:val="00AD4DDA"/>
    <w:rsid w:val="00AE5AF5"/>
    <w:rsid w:val="00B042A5"/>
    <w:rsid w:val="00B16734"/>
    <w:rsid w:val="00B65698"/>
    <w:rsid w:val="00B67E34"/>
    <w:rsid w:val="00B70290"/>
    <w:rsid w:val="00B702C2"/>
    <w:rsid w:val="00B71A3C"/>
    <w:rsid w:val="00B739F2"/>
    <w:rsid w:val="00BA07A2"/>
    <w:rsid w:val="00BB09A1"/>
    <w:rsid w:val="00BC1A8D"/>
    <w:rsid w:val="00BC61F4"/>
    <w:rsid w:val="00C17126"/>
    <w:rsid w:val="00C26730"/>
    <w:rsid w:val="00C70B00"/>
    <w:rsid w:val="00C74B9D"/>
    <w:rsid w:val="00C8276A"/>
    <w:rsid w:val="00CC34BF"/>
    <w:rsid w:val="00CF117D"/>
    <w:rsid w:val="00CF2162"/>
    <w:rsid w:val="00D15BC3"/>
    <w:rsid w:val="00D43E36"/>
    <w:rsid w:val="00D6613A"/>
    <w:rsid w:val="00D67604"/>
    <w:rsid w:val="00DB6864"/>
    <w:rsid w:val="00DB7F35"/>
    <w:rsid w:val="00DC4FBA"/>
    <w:rsid w:val="00DC6A37"/>
    <w:rsid w:val="00DD373C"/>
    <w:rsid w:val="00DF585E"/>
    <w:rsid w:val="00E06F6E"/>
    <w:rsid w:val="00E45C04"/>
    <w:rsid w:val="00E47919"/>
    <w:rsid w:val="00E57D4F"/>
    <w:rsid w:val="00E8532E"/>
    <w:rsid w:val="00E92B81"/>
    <w:rsid w:val="00EB2818"/>
    <w:rsid w:val="00EF206C"/>
    <w:rsid w:val="00EF4258"/>
    <w:rsid w:val="00F33AAF"/>
    <w:rsid w:val="00F74CE5"/>
    <w:rsid w:val="00F92116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E934"/>
  <w15:docId w15:val="{D6C9BA45-5709-417A-8ECA-562DD05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B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CC34B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CC34BF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FE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C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6F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6F"/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686E78"/>
    <w:rPr>
      <w:b/>
      <w:bCs/>
    </w:rPr>
  </w:style>
  <w:style w:type="table" w:styleId="Grilledutableau">
    <w:name w:val="Table Grid"/>
    <w:basedOn w:val="TableauNormal"/>
    <w:rsid w:val="00E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C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7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299180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0087160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31D99E9F44E73B1E5D1BA0F93F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D8ACA-9B78-4D27-8F00-3C3DBA52F153}"/>
      </w:docPartPr>
      <w:docPartBody>
        <w:p w:rsidR="00E76EF1" w:rsidRDefault="007B5A3A" w:rsidP="007B5A3A">
          <w:pPr>
            <w:pStyle w:val="3A831D99E9F44E73B1E5D1BA0F93F0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A"/>
    <w:rsid w:val="007B5A3A"/>
    <w:rsid w:val="00E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6857C51D874934BD19107E49F3949E">
    <w:name w:val="4E6857C51D874934BD19107E49F3949E"/>
    <w:rsid w:val="007B5A3A"/>
  </w:style>
  <w:style w:type="paragraph" w:customStyle="1" w:styleId="3A831D99E9F44E73B1E5D1BA0F93F054">
    <w:name w:val="3A831D99E9F44E73B1E5D1BA0F93F054"/>
    <w:rsid w:val="007B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B003-C93F-4A6A-AFA7-A4AC09F5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 79 / Expertise RH / expertise-rh@cdg79.fr / MAJ 24/05/2022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 79 / Expertise RH / expertise-rh@cdg79.fr / MAJ 24/05/2022</dc:title>
  <dc:creator>Caroline CG. GEORGET</dc:creator>
  <cp:lastModifiedBy>Caroline CG. GEORGET</cp:lastModifiedBy>
  <cp:revision>3</cp:revision>
  <cp:lastPrinted>2017-02-14T16:30:00Z</cp:lastPrinted>
  <dcterms:created xsi:type="dcterms:W3CDTF">2022-05-24T12:54:00Z</dcterms:created>
  <dcterms:modified xsi:type="dcterms:W3CDTF">2022-05-24T12:55:00Z</dcterms:modified>
</cp:coreProperties>
</file>